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339" w:rsidRPr="00F63CE3" w:rsidRDefault="00AE6339" w:rsidP="00AE6339">
      <w:pPr>
        <w:spacing w:after="0" w:line="240" w:lineRule="auto"/>
        <w:jc w:val="center"/>
        <w:rPr>
          <w:rFonts w:ascii="Arial" w:eastAsia="Times New Roman" w:hAnsi="Arial" w:cs="Arial"/>
          <w:b/>
          <w:lang w:val="hr-HR" w:eastAsia="hr-HR"/>
        </w:rPr>
      </w:pPr>
      <w:bookmarkStart w:id="0" w:name="_GoBack"/>
      <w:bookmarkEnd w:id="0"/>
      <w:r w:rsidRPr="00F63CE3">
        <w:rPr>
          <w:rFonts w:ascii="Arial" w:eastAsia="Times New Roman" w:hAnsi="Arial" w:cs="Arial"/>
          <w:b/>
          <w:lang w:val="hr-HR" w:eastAsia="hr-HR"/>
        </w:rPr>
        <w:t>Ispitivanje razlike u prirastu populacije dagnje</w:t>
      </w:r>
    </w:p>
    <w:p w:rsidR="00AE6339" w:rsidRPr="00F63CE3" w:rsidRDefault="00AE6339" w:rsidP="00AE6339">
      <w:pPr>
        <w:spacing w:after="0" w:line="240" w:lineRule="auto"/>
        <w:jc w:val="center"/>
        <w:rPr>
          <w:rFonts w:ascii="Arial" w:eastAsia="Times New Roman" w:hAnsi="Arial" w:cs="Arial"/>
          <w:b/>
          <w:i/>
          <w:iCs/>
          <w:lang w:val="hr-HR" w:eastAsia="hr-HR"/>
        </w:rPr>
      </w:pPr>
      <w:r w:rsidRPr="00F63CE3">
        <w:rPr>
          <w:rFonts w:ascii="Arial" w:eastAsia="Times New Roman" w:hAnsi="Arial" w:cs="Arial"/>
          <w:b/>
          <w:lang w:val="hr-HR" w:eastAsia="hr-HR"/>
        </w:rPr>
        <w:t>(</w:t>
      </w:r>
      <w:r w:rsidRPr="00F63CE3">
        <w:rPr>
          <w:rFonts w:ascii="Arial" w:eastAsia="Times New Roman" w:hAnsi="Arial" w:cs="Arial"/>
          <w:b/>
          <w:i/>
          <w:lang w:val="hr-HR" w:eastAsia="hr-HR"/>
        </w:rPr>
        <w:t>Mytilus galloprovincialis</w:t>
      </w:r>
      <w:r w:rsidRPr="00F63CE3">
        <w:rPr>
          <w:rFonts w:ascii="Arial" w:eastAsia="Times New Roman" w:hAnsi="Arial" w:cs="Arial"/>
          <w:b/>
          <w:lang w:val="hr-HR" w:eastAsia="hr-HR"/>
        </w:rPr>
        <w:t xml:space="preserve"> Lamarck, 1819)</w:t>
      </w:r>
    </w:p>
    <w:p w:rsidR="00AE6339" w:rsidRPr="00F63CE3" w:rsidRDefault="00AE6339" w:rsidP="00AE6339">
      <w:pPr>
        <w:spacing w:after="0" w:line="240" w:lineRule="auto"/>
        <w:jc w:val="center"/>
        <w:rPr>
          <w:rFonts w:ascii="Arial" w:eastAsia="Times New Roman" w:hAnsi="Arial" w:cs="Arial"/>
          <w:b/>
          <w:i/>
          <w:iCs/>
          <w:lang w:val="hr-HR" w:eastAsia="hr-HR"/>
        </w:rPr>
      </w:pPr>
      <w:r w:rsidRPr="00F63CE3">
        <w:rPr>
          <w:rFonts w:ascii="Arial" w:eastAsia="Times New Roman" w:hAnsi="Arial" w:cs="Arial"/>
          <w:b/>
          <w:lang w:val="hr-HR" w:eastAsia="hr-HR"/>
        </w:rPr>
        <w:t>između dva različita lokaliteta u Kaštelanskom zaljevu</w:t>
      </w:r>
    </w:p>
    <w:p w:rsidR="00AE6339" w:rsidRPr="00F63CE3" w:rsidRDefault="00AE6339" w:rsidP="00AE6339">
      <w:pPr>
        <w:spacing w:after="0" w:line="240" w:lineRule="auto"/>
        <w:jc w:val="center"/>
        <w:rPr>
          <w:rFonts w:ascii="Arial" w:eastAsia="Times New Roman" w:hAnsi="Arial" w:cs="Arial"/>
          <w:lang w:val="hr-HR" w:eastAsia="hr-HR"/>
        </w:rPr>
      </w:pPr>
    </w:p>
    <w:p w:rsidR="00AE6339" w:rsidRPr="00F63CE3" w:rsidRDefault="00AE6339" w:rsidP="00AE6339">
      <w:pPr>
        <w:spacing w:after="0" w:line="240" w:lineRule="auto"/>
        <w:jc w:val="center"/>
        <w:rPr>
          <w:rFonts w:ascii="Arial" w:eastAsia="Times New Roman" w:hAnsi="Arial" w:cs="Arial"/>
          <w:b/>
          <w:i/>
          <w:iCs/>
          <w:lang w:val="hr-HR" w:eastAsia="hr-HR"/>
        </w:rPr>
      </w:pPr>
      <w:r w:rsidRPr="00F63CE3">
        <w:rPr>
          <w:rFonts w:ascii="Arial" w:eastAsia="Times New Roman" w:hAnsi="Arial" w:cs="Arial"/>
          <w:b/>
          <w:lang w:val="hr-HR" w:eastAsia="hr-HR"/>
        </w:rPr>
        <w:t>Investigating difference in the increase of mussel population</w:t>
      </w:r>
    </w:p>
    <w:p w:rsidR="00AE6339" w:rsidRPr="00F63CE3" w:rsidRDefault="00AE6339" w:rsidP="00AE6339">
      <w:pPr>
        <w:spacing w:after="0" w:line="240" w:lineRule="auto"/>
        <w:jc w:val="center"/>
        <w:rPr>
          <w:rFonts w:ascii="Arial" w:eastAsia="Times New Roman" w:hAnsi="Arial" w:cs="Arial"/>
          <w:b/>
          <w:i/>
          <w:iCs/>
          <w:lang w:val="hr-HR" w:eastAsia="hr-HR"/>
        </w:rPr>
      </w:pPr>
      <w:bookmarkStart w:id="1" w:name="_Hlk512435607"/>
      <w:r w:rsidRPr="00F63CE3">
        <w:rPr>
          <w:rFonts w:ascii="Arial" w:eastAsia="Times New Roman" w:hAnsi="Arial" w:cs="Arial"/>
          <w:b/>
          <w:lang w:val="hr-HR" w:eastAsia="hr-HR"/>
        </w:rPr>
        <w:t>(</w:t>
      </w:r>
      <w:r w:rsidRPr="00F63CE3">
        <w:rPr>
          <w:rFonts w:ascii="Arial" w:eastAsia="Times New Roman" w:hAnsi="Arial" w:cs="Arial"/>
          <w:b/>
          <w:i/>
          <w:lang w:val="hr-HR" w:eastAsia="hr-HR"/>
        </w:rPr>
        <w:t>Mytilus galloprovincialis</w:t>
      </w:r>
      <w:r w:rsidRPr="00F63CE3">
        <w:rPr>
          <w:rFonts w:ascii="Arial" w:eastAsia="Times New Roman" w:hAnsi="Arial" w:cs="Arial"/>
          <w:b/>
          <w:lang w:val="hr-HR" w:eastAsia="hr-HR"/>
        </w:rPr>
        <w:t xml:space="preserve"> Lamarck, 1819)</w:t>
      </w:r>
      <w:bookmarkEnd w:id="1"/>
    </w:p>
    <w:p w:rsidR="00AE6339" w:rsidRPr="00F63CE3" w:rsidRDefault="00AE6339" w:rsidP="00AE6339">
      <w:pPr>
        <w:spacing w:after="0" w:line="240" w:lineRule="auto"/>
        <w:jc w:val="center"/>
        <w:rPr>
          <w:rFonts w:ascii="Arial" w:eastAsia="Times New Roman" w:hAnsi="Arial" w:cs="Arial"/>
          <w:b/>
          <w:lang w:val="hr-HR" w:eastAsia="hr-HR"/>
        </w:rPr>
      </w:pPr>
      <w:r w:rsidRPr="00F63CE3">
        <w:rPr>
          <w:rFonts w:ascii="Arial" w:eastAsia="Times New Roman" w:hAnsi="Arial" w:cs="Arial"/>
          <w:b/>
          <w:lang w:val="hr-HR" w:eastAsia="hr-HR"/>
        </w:rPr>
        <w:t>between two different localities in the Kaštela Bay</w:t>
      </w:r>
    </w:p>
    <w:p w:rsidR="00AE6339" w:rsidRPr="00F63CE3" w:rsidRDefault="00AE6339" w:rsidP="00AE6339">
      <w:pPr>
        <w:spacing w:after="0" w:line="240" w:lineRule="auto"/>
        <w:jc w:val="center"/>
        <w:rPr>
          <w:rFonts w:ascii="Arial" w:eastAsia="Times New Roman" w:hAnsi="Arial" w:cs="Arial"/>
          <w:b/>
          <w:lang w:val="hr-HR" w:eastAsia="hr-HR"/>
        </w:rPr>
      </w:pPr>
    </w:p>
    <w:p w:rsidR="00AE6339" w:rsidRPr="00F63CE3" w:rsidRDefault="00AE6339" w:rsidP="00AE6339">
      <w:pPr>
        <w:spacing w:after="0" w:line="240" w:lineRule="auto"/>
        <w:jc w:val="center"/>
        <w:rPr>
          <w:rFonts w:ascii="Arial" w:eastAsia="Times New Roman" w:hAnsi="Arial" w:cs="Arial"/>
          <w:b/>
          <w:lang w:val="hr-HR" w:eastAsia="hr-HR"/>
        </w:rPr>
      </w:pPr>
      <w:r w:rsidRPr="00F63CE3">
        <w:rPr>
          <w:rFonts w:ascii="Arial" w:eastAsia="Times New Roman" w:hAnsi="Arial" w:cs="Arial"/>
          <w:b/>
          <w:lang w:val="hr-HR" w:eastAsia="hr-HR"/>
        </w:rPr>
        <w:t xml:space="preserve">Mihael Fredotović, Iva Žeko, Ilijana Lukač  </w:t>
      </w:r>
    </w:p>
    <w:p w:rsidR="00AE6339" w:rsidRPr="00F63CE3" w:rsidRDefault="00AE6339" w:rsidP="00AE6339">
      <w:pPr>
        <w:spacing w:after="0" w:line="240" w:lineRule="auto"/>
        <w:jc w:val="center"/>
        <w:rPr>
          <w:rFonts w:ascii="Arial" w:eastAsia="Times New Roman" w:hAnsi="Arial" w:cs="Arial"/>
          <w:b/>
          <w:iCs/>
          <w:lang w:val="hr-HR" w:eastAsia="hr-HR"/>
        </w:rPr>
      </w:pPr>
      <w:r w:rsidRPr="00F63CE3">
        <w:rPr>
          <w:rFonts w:ascii="Arial" w:eastAsia="Times New Roman" w:hAnsi="Arial" w:cs="Arial"/>
          <w:b/>
          <w:lang w:val="hr-HR" w:eastAsia="hr-HR"/>
        </w:rPr>
        <w:t>Mentori: Ivanka Stipoljev, prof., Mihajlo Lerinc, prof.</w:t>
      </w:r>
    </w:p>
    <w:p w:rsidR="00AE6339" w:rsidRPr="00F63CE3" w:rsidRDefault="00AE6339" w:rsidP="00AE6339">
      <w:pPr>
        <w:spacing w:after="240" w:line="240" w:lineRule="auto"/>
        <w:jc w:val="center"/>
        <w:rPr>
          <w:rFonts w:ascii="Arial" w:eastAsia="Times New Roman" w:hAnsi="Arial" w:cs="Arial"/>
          <w:b/>
          <w:lang w:val="hr-HR" w:eastAsia="hr-HR"/>
        </w:rPr>
      </w:pPr>
      <w:r w:rsidRPr="00F63CE3">
        <w:rPr>
          <w:rFonts w:ascii="Arial" w:eastAsia="Times New Roman" w:hAnsi="Arial" w:cs="Arial"/>
          <w:b/>
          <w:lang w:val="hr-HR" w:eastAsia="hr-HR"/>
        </w:rPr>
        <w:t>SŠ „Braća Radić“ Kaštel Štafilić – Nehaj, Kaštela</w:t>
      </w:r>
    </w:p>
    <w:p w:rsidR="00AE6339" w:rsidRPr="00F63CE3" w:rsidRDefault="00AE6339" w:rsidP="00AE6339">
      <w:pPr>
        <w:spacing w:line="240" w:lineRule="auto"/>
        <w:jc w:val="both"/>
        <w:outlineLvl w:val="0"/>
        <w:rPr>
          <w:rFonts w:ascii="Arial" w:hAnsi="Arial" w:cs="Arial"/>
          <w:b/>
          <w:iCs/>
        </w:rPr>
      </w:pPr>
      <w:r w:rsidRPr="00F63CE3">
        <w:rPr>
          <w:rFonts w:ascii="Arial" w:hAnsi="Arial" w:cs="Arial"/>
          <w:b/>
          <w:iCs/>
        </w:rPr>
        <w:t>Sažetak rada</w:t>
      </w:r>
    </w:p>
    <w:p w:rsidR="00852A83" w:rsidRPr="00F63CE3" w:rsidRDefault="00A87181" w:rsidP="00E870D2">
      <w:pPr>
        <w:jc w:val="both"/>
        <w:rPr>
          <w:rFonts w:ascii="Arial" w:hAnsi="Arial" w:cs="Arial"/>
        </w:rPr>
      </w:pPr>
      <w:r w:rsidRPr="00F63CE3">
        <w:rPr>
          <w:rFonts w:ascii="Arial" w:hAnsi="Arial" w:cs="Arial"/>
        </w:rPr>
        <w:t>Ovim radom htjelo se istražiti zbog čega postoje razlike u prirastu populacija dagnje (</w:t>
      </w:r>
      <w:r w:rsidRPr="00F63CE3">
        <w:rPr>
          <w:rFonts w:ascii="Arial" w:hAnsi="Arial" w:cs="Arial"/>
          <w:i/>
        </w:rPr>
        <w:t>Mytilus galloprovincialis</w:t>
      </w:r>
      <w:r w:rsidR="001050E2" w:rsidRPr="00F63CE3">
        <w:rPr>
          <w:rFonts w:ascii="Arial" w:hAnsi="Arial" w:cs="Arial"/>
          <w:i/>
        </w:rPr>
        <w:t>,</w:t>
      </w:r>
      <w:r w:rsidRPr="00F63CE3">
        <w:rPr>
          <w:rFonts w:ascii="Arial" w:hAnsi="Arial" w:cs="Arial"/>
          <w:i/>
        </w:rPr>
        <w:t xml:space="preserve"> </w:t>
      </w:r>
      <w:r w:rsidRPr="00F63CE3">
        <w:rPr>
          <w:rFonts w:ascii="Arial" w:hAnsi="Arial" w:cs="Arial"/>
        </w:rPr>
        <w:t xml:space="preserve">Lamarck, 1819) između dva različita lokaliteta u Kaštelanskom zaljevu. Jedan od istraživanih lokaliteta je u središnjem dijelu zaljeva (postaja Porat-Kaštel Novi) dok drugi </w:t>
      </w:r>
      <w:r w:rsidR="00DC162D" w:rsidRPr="00F63CE3">
        <w:rPr>
          <w:rFonts w:ascii="Arial" w:hAnsi="Arial" w:cs="Arial"/>
        </w:rPr>
        <w:t xml:space="preserve">istraživani </w:t>
      </w:r>
      <w:r w:rsidRPr="00F63CE3">
        <w:rPr>
          <w:rFonts w:ascii="Arial" w:hAnsi="Arial" w:cs="Arial"/>
        </w:rPr>
        <w:t>lokalitet graniči s otvorenim morem (postaja Institut). Istraživanje je trajalo od 1.10.2017. do 20.2.2018. Mjerene su gustoće populacija na jediničnoj površini od 400</w:t>
      </w:r>
      <w:r w:rsidR="00E870D2" w:rsidRPr="00F63CE3">
        <w:rPr>
          <w:rFonts w:ascii="Arial" w:hAnsi="Arial" w:cs="Arial"/>
        </w:rPr>
        <w:t xml:space="preserve"> </w:t>
      </w:r>
      <w:r w:rsidRPr="00F63CE3">
        <w:rPr>
          <w:rFonts w:ascii="Arial" w:hAnsi="Arial" w:cs="Arial"/>
        </w:rPr>
        <w:t>cm</w:t>
      </w:r>
      <w:r w:rsidRPr="00F63CE3">
        <w:rPr>
          <w:rFonts w:ascii="Arial" w:hAnsi="Arial" w:cs="Arial"/>
          <w:vertAlign w:val="superscript"/>
        </w:rPr>
        <w:t>2</w:t>
      </w:r>
      <w:r w:rsidRPr="00F63CE3">
        <w:rPr>
          <w:rFonts w:ascii="Arial" w:hAnsi="Arial" w:cs="Arial"/>
        </w:rPr>
        <w:t xml:space="preserve">, </w:t>
      </w:r>
      <w:r w:rsidR="00DC162D" w:rsidRPr="00F63CE3">
        <w:rPr>
          <w:rFonts w:ascii="Arial" w:hAnsi="Arial" w:cs="Arial"/>
        </w:rPr>
        <w:t xml:space="preserve">dužinska struktura populacije uz pomoć pomične mjerke te salinitet i površinska temperatura mora prema GLOBE protokolima. Rezultati su pokazali razlike u brojnosti i dužinskoj strukturi dagnji između ove dvije postaje što se može dovesti u vezu s okolišnim čimbenicima, salinitetom i temperaturom mora. Dagnje ostvaruju dobar prirast pri salinitetu u rasponu od 20 do 35 </w:t>
      </w:r>
      <w:bookmarkStart w:id="2" w:name="_Hlk512436996"/>
      <w:r w:rsidR="00DC162D" w:rsidRPr="00F63CE3">
        <w:rPr>
          <w:rFonts w:ascii="Arial" w:hAnsi="Arial" w:cs="Arial"/>
        </w:rPr>
        <w:t>‰</w:t>
      </w:r>
      <w:bookmarkEnd w:id="2"/>
      <w:r w:rsidR="00DC162D" w:rsidRPr="00F63CE3">
        <w:rPr>
          <w:rFonts w:ascii="Arial" w:hAnsi="Arial" w:cs="Arial"/>
        </w:rPr>
        <w:t xml:space="preserve">, </w:t>
      </w:r>
      <w:r w:rsidR="00EE24CA" w:rsidRPr="00F63CE3">
        <w:rPr>
          <w:rFonts w:ascii="Arial" w:hAnsi="Arial" w:cs="Arial"/>
        </w:rPr>
        <w:t>i</w:t>
      </w:r>
      <w:r w:rsidR="00DC162D" w:rsidRPr="00F63CE3">
        <w:rPr>
          <w:rFonts w:ascii="Arial" w:hAnsi="Arial" w:cs="Arial"/>
        </w:rPr>
        <w:t xml:space="preserve"> temperatur</w:t>
      </w:r>
      <w:r w:rsidR="00EE24CA" w:rsidRPr="00F63CE3">
        <w:rPr>
          <w:rFonts w:ascii="Arial" w:hAnsi="Arial" w:cs="Arial"/>
        </w:rPr>
        <w:t>i mora</w:t>
      </w:r>
      <w:r w:rsidR="00DC162D" w:rsidRPr="00F63CE3">
        <w:rPr>
          <w:rFonts w:ascii="Arial" w:hAnsi="Arial" w:cs="Arial"/>
        </w:rPr>
        <w:t xml:space="preserve"> u rasponu od 10° do 20° C</w:t>
      </w:r>
      <w:r w:rsidR="00EE24CA" w:rsidRPr="00F63CE3">
        <w:rPr>
          <w:rFonts w:ascii="Arial" w:hAnsi="Arial" w:cs="Arial"/>
        </w:rPr>
        <w:t>.</w:t>
      </w:r>
      <w:r w:rsidR="00E870D2" w:rsidRPr="00F63CE3">
        <w:rPr>
          <w:rFonts w:ascii="Arial" w:hAnsi="Arial" w:cs="Arial"/>
        </w:rPr>
        <w:t xml:space="preserve"> </w:t>
      </w:r>
      <w:r w:rsidR="00EE24CA" w:rsidRPr="00F63CE3">
        <w:rPr>
          <w:rFonts w:ascii="Arial" w:hAnsi="Arial" w:cs="Arial"/>
        </w:rPr>
        <w:t>U središnjem dijelu Kaštelanskog zaljeva (postaja Porat), gustoća populacije dagnje je dva puta veća u odnosu na populaciju mjerenu na postaji Institut,</w:t>
      </w:r>
      <w:r w:rsidR="001050E2" w:rsidRPr="00F63CE3">
        <w:rPr>
          <w:rFonts w:ascii="Arial" w:hAnsi="Arial" w:cs="Arial"/>
        </w:rPr>
        <w:t xml:space="preserve"> </w:t>
      </w:r>
      <w:r w:rsidR="00EE24CA" w:rsidRPr="00F63CE3">
        <w:rPr>
          <w:rFonts w:ascii="Arial" w:hAnsi="Arial" w:cs="Arial"/>
        </w:rPr>
        <w:t>veći je prirast i veći je broj mlađih jedinki zbog dotoka slatke vode a time povoljnijeg saliniteta (srednja vrijednost 35.28 ‰</w:t>
      </w:r>
      <w:r w:rsidR="009927BF" w:rsidRPr="00F63CE3">
        <w:rPr>
          <w:rFonts w:ascii="Arial" w:hAnsi="Arial" w:cs="Arial"/>
        </w:rPr>
        <w:t>, a na postaji Institut 37.41 ‰</w:t>
      </w:r>
      <w:r w:rsidR="00EE24CA" w:rsidRPr="00F63CE3">
        <w:rPr>
          <w:rFonts w:ascii="Arial" w:hAnsi="Arial" w:cs="Arial"/>
        </w:rPr>
        <w:t>)</w:t>
      </w:r>
      <w:r w:rsidR="009927BF" w:rsidRPr="00F63CE3">
        <w:rPr>
          <w:rFonts w:ascii="Arial" w:hAnsi="Arial" w:cs="Arial"/>
        </w:rPr>
        <w:t>, temperature mora u rasponu od 10-20° C, visoke primarne produkcije, veće količine hrane i umjerene izloženosti udarima valova i izmjeni morske vode.</w:t>
      </w:r>
    </w:p>
    <w:p w:rsidR="00852A83" w:rsidRPr="00F63CE3" w:rsidRDefault="00852A83" w:rsidP="00EE24CA">
      <w:pPr>
        <w:rPr>
          <w:rFonts w:ascii="Arial" w:hAnsi="Arial" w:cs="Arial"/>
          <w:b/>
        </w:rPr>
      </w:pPr>
      <w:r w:rsidRPr="00F63CE3">
        <w:rPr>
          <w:rFonts w:ascii="Arial" w:hAnsi="Arial" w:cs="Arial"/>
          <w:b/>
        </w:rPr>
        <w:t>Summary</w:t>
      </w:r>
    </w:p>
    <w:p w:rsidR="00852A83" w:rsidRPr="00F63CE3" w:rsidRDefault="00852A83" w:rsidP="00E870D2">
      <w:pPr>
        <w:jc w:val="both"/>
        <w:rPr>
          <w:rFonts w:ascii="Arial" w:hAnsi="Arial" w:cs="Arial"/>
          <w:lang w:val="en-US"/>
        </w:rPr>
      </w:pPr>
      <w:r w:rsidRPr="00F63CE3">
        <w:rPr>
          <w:rFonts w:ascii="Arial" w:hAnsi="Arial" w:cs="Arial"/>
          <w:lang w:val="en-US"/>
        </w:rPr>
        <w:t>This work investigated why there are differences in the growth of mussel populations (</w:t>
      </w:r>
      <w:r w:rsidRPr="00F63CE3">
        <w:rPr>
          <w:rFonts w:ascii="Arial" w:hAnsi="Arial" w:cs="Arial"/>
          <w:i/>
          <w:lang w:val="en-US"/>
        </w:rPr>
        <w:t>Mytilus galloprovincialis,</w:t>
      </w:r>
      <w:r w:rsidRPr="00F63CE3">
        <w:rPr>
          <w:rFonts w:ascii="Arial" w:hAnsi="Arial" w:cs="Arial"/>
          <w:lang w:val="en-US"/>
        </w:rPr>
        <w:t xml:space="preserve"> Lamarck, 1819) between two different sites in the Kaštela bay. One of the investigated sites is in the central part of the bay (Porat-Kaštel Novi station), while the other is bordered by an open sea (Institute station). The investigation lasted from the 1</w:t>
      </w:r>
      <w:r w:rsidRPr="00F63CE3">
        <w:rPr>
          <w:rFonts w:ascii="Arial" w:hAnsi="Arial" w:cs="Arial"/>
          <w:vertAlign w:val="superscript"/>
          <w:lang w:val="en-US"/>
        </w:rPr>
        <w:t>st</w:t>
      </w:r>
      <w:r w:rsidRPr="00F63CE3">
        <w:rPr>
          <w:rFonts w:ascii="Arial" w:hAnsi="Arial" w:cs="Arial"/>
          <w:lang w:val="en-US"/>
        </w:rPr>
        <w:t xml:space="preserve"> of October 2017 until 20</w:t>
      </w:r>
      <w:r w:rsidRPr="00F63CE3">
        <w:rPr>
          <w:rFonts w:ascii="Arial" w:hAnsi="Arial" w:cs="Arial"/>
          <w:vertAlign w:val="superscript"/>
          <w:lang w:val="en-US"/>
        </w:rPr>
        <w:t xml:space="preserve">th </w:t>
      </w:r>
      <w:r w:rsidRPr="00F63CE3">
        <w:rPr>
          <w:rFonts w:ascii="Arial" w:hAnsi="Arial" w:cs="Arial"/>
          <w:lang w:val="en-US"/>
        </w:rPr>
        <w:t xml:space="preserve">of </w:t>
      </w:r>
      <w:r w:rsidR="00E870D2" w:rsidRPr="00F63CE3">
        <w:rPr>
          <w:rFonts w:ascii="Arial" w:hAnsi="Arial" w:cs="Arial"/>
          <w:lang w:val="en-US"/>
        </w:rPr>
        <w:t>February</w:t>
      </w:r>
      <w:r w:rsidRPr="00F63CE3">
        <w:rPr>
          <w:rFonts w:ascii="Arial" w:hAnsi="Arial" w:cs="Arial"/>
          <w:lang w:val="en-US"/>
        </w:rPr>
        <w:t xml:space="preserve"> 2018. The population density was measured on the 400</w:t>
      </w:r>
      <w:r w:rsidR="00E870D2" w:rsidRPr="00F63CE3">
        <w:rPr>
          <w:rFonts w:ascii="Arial" w:hAnsi="Arial" w:cs="Arial"/>
          <w:lang w:val="en-US"/>
        </w:rPr>
        <w:t xml:space="preserve"> </w:t>
      </w:r>
      <w:r w:rsidRPr="00F63CE3">
        <w:rPr>
          <w:rFonts w:ascii="Arial" w:hAnsi="Arial" w:cs="Arial"/>
          <w:lang w:val="en-US"/>
        </w:rPr>
        <w:t>cm</w:t>
      </w:r>
      <w:r w:rsidRPr="00F63CE3">
        <w:rPr>
          <w:rFonts w:ascii="Arial" w:hAnsi="Arial" w:cs="Arial"/>
          <w:vertAlign w:val="superscript"/>
          <w:lang w:val="en-US"/>
        </w:rPr>
        <w:t>2</w:t>
      </w:r>
      <w:r w:rsidRPr="00F63CE3">
        <w:rPr>
          <w:rFonts w:ascii="Arial" w:hAnsi="Arial" w:cs="Arial"/>
          <w:lang w:val="en-US"/>
        </w:rPr>
        <w:t xml:space="preserve"> surface area and the population length structure was measured using a vernier scale. Salinity and sea surface temperature were measured according to the GLOBE </w:t>
      </w:r>
      <w:r w:rsidR="00E870D2" w:rsidRPr="00F63CE3">
        <w:rPr>
          <w:rFonts w:ascii="Arial" w:hAnsi="Arial" w:cs="Arial"/>
          <w:lang w:val="en-US"/>
        </w:rPr>
        <w:t>protocols. The</w:t>
      </w:r>
      <w:r w:rsidRPr="00F63CE3">
        <w:rPr>
          <w:rFonts w:ascii="Arial" w:hAnsi="Arial" w:cs="Arial"/>
          <w:lang w:val="en-US"/>
        </w:rPr>
        <w:t xml:space="preserve"> results showed the differences in the number of mussels and the length structure between these two stations, which can be related to environmental factors, salinity and sea temperature. Mussels achieve the best growth when salinity ranges between 20 - 35 ‰, and the sea temperature ranges from 10 ° to 20 ° C. In the central part of the Kaštela bay (Porat station), the density of the mussel population is twice as high as the population measured at the Institute station. Also, the growth and the number of juvenile individuals are higher at the Porat station, due to the inflow of fresh water and thus the more favorable salinity (mean value 35.28 ‰ vs. 37.41 ‰, respectively). Moreover, sea temperatures in the range of 10 - 20°C, high primary production, higher amounts of food and moderate exposure to waves and changes in seawater, make better conditions for growth and reproduction of mussel population in the Kaštela bay.</w:t>
      </w:r>
    </w:p>
    <w:p w:rsidR="00E4471A" w:rsidRDefault="00E4471A" w:rsidP="00EE24CA">
      <w:pPr>
        <w:rPr>
          <w:rFonts w:ascii="Arial" w:hAnsi="Arial" w:cs="Arial"/>
          <w:b/>
        </w:rPr>
      </w:pPr>
    </w:p>
    <w:p w:rsidR="00AE6339" w:rsidRPr="00F63CE3" w:rsidRDefault="00AE6339" w:rsidP="00EE24CA">
      <w:pPr>
        <w:rPr>
          <w:rFonts w:ascii="Arial" w:hAnsi="Arial" w:cs="Arial"/>
        </w:rPr>
      </w:pPr>
      <w:r w:rsidRPr="00F63CE3">
        <w:rPr>
          <w:rFonts w:ascii="Arial" w:hAnsi="Arial" w:cs="Arial"/>
          <w:b/>
        </w:rPr>
        <w:t>Istraživačko pitanje/ hipoteza</w:t>
      </w:r>
    </w:p>
    <w:p w:rsidR="00AE6339" w:rsidRPr="00F63CE3" w:rsidRDefault="00AE6339" w:rsidP="00AE6339">
      <w:pPr>
        <w:spacing w:line="240" w:lineRule="auto"/>
        <w:jc w:val="both"/>
        <w:rPr>
          <w:rFonts w:ascii="Arial" w:hAnsi="Arial" w:cs="Arial"/>
        </w:rPr>
      </w:pPr>
      <w:r w:rsidRPr="00F63CE3">
        <w:rPr>
          <w:rFonts w:ascii="Arial" w:hAnsi="Arial" w:cs="Arial"/>
        </w:rPr>
        <w:t>Dagnja (</w:t>
      </w:r>
      <w:r w:rsidRPr="00F63CE3">
        <w:rPr>
          <w:rFonts w:ascii="Arial" w:hAnsi="Arial" w:cs="Arial"/>
          <w:i/>
        </w:rPr>
        <w:t>Mytilus galloprovincialis</w:t>
      </w:r>
      <w:r w:rsidRPr="00F63CE3">
        <w:rPr>
          <w:rFonts w:ascii="Arial" w:hAnsi="Arial" w:cs="Arial"/>
        </w:rPr>
        <w:t xml:space="preserve">) je školjkaš tamno modre do crne boje ljušture. Prosječna veličina do koje jedinke narastu iznosi </w:t>
      </w:r>
      <w:smartTag w:uri="urn:schemas-microsoft-com:office:smarttags" w:element="metricconverter">
        <w:smartTagPr>
          <w:attr w:name="ProductID" w:val="5 cm"/>
        </w:smartTagPr>
        <w:r w:rsidRPr="00F63CE3">
          <w:rPr>
            <w:rFonts w:ascii="Arial" w:hAnsi="Arial" w:cs="Arial"/>
          </w:rPr>
          <w:t>5 cm</w:t>
        </w:r>
      </w:smartTag>
      <w:r w:rsidRPr="00F63CE3">
        <w:rPr>
          <w:rFonts w:ascii="Arial" w:hAnsi="Arial" w:cs="Arial"/>
        </w:rPr>
        <w:t xml:space="preserve">, a može narasti i do maksimalnih </w:t>
      </w:r>
      <w:smartTag w:uri="urn:schemas-microsoft-com:office:smarttags" w:element="metricconverter">
        <w:smartTagPr>
          <w:attr w:name="ProductID" w:val="12 cm"/>
        </w:smartTagPr>
        <w:r w:rsidRPr="00F63CE3">
          <w:rPr>
            <w:rFonts w:ascii="Arial" w:hAnsi="Arial" w:cs="Arial"/>
          </w:rPr>
          <w:t>12 cm</w:t>
        </w:r>
      </w:smartTag>
      <w:r w:rsidRPr="00F63CE3">
        <w:rPr>
          <w:rFonts w:ascii="Arial" w:hAnsi="Arial" w:cs="Arial"/>
        </w:rPr>
        <w:t xml:space="preserve"> (Picker &amp; Griffiths,2011). Jedinke se hrane filtriranjem morske vode, pri čemu im služe škrge koje svojim radom uzrokuju strujanje morske vode u plaštanoj šupljini. Za supstrat se prihvaća bisusnim nitima koje luči pokretno stopalo (Bačić i sur., 2009). Spolnu zrelost dostižu pri dužinama od 35 do 40 mm (Vural i sur., 2015). Nakon mriještenja iz oplođenih jajnih stanica razvijaju se slobodno plivajuće ličinke (Picker i Griffiths, 2011). Dagnja se mrijesti dva puta godišnje, početkom proljeća i jeseni. Jedinka tada u more ispušta od 5 do 25 milijuna jaja. Najčešće i najgušće naseljava zonu plime i oseke (Milišić, 1991).</w:t>
      </w:r>
    </w:p>
    <w:p w:rsidR="00AE6339" w:rsidRPr="00F63CE3" w:rsidRDefault="00AE6339" w:rsidP="00AE6339">
      <w:pPr>
        <w:spacing w:line="240" w:lineRule="auto"/>
        <w:jc w:val="both"/>
        <w:rPr>
          <w:rFonts w:ascii="Arial" w:hAnsi="Arial" w:cs="Arial"/>
        </w:rPr>
      </w:pPr>
      <w:r w:rsidRPr="00F63CE3">
        <w:rPr>
          <w:rFonts w:ascii="Arial" w:hAnsi="Arial" w:cs="Arial"/>
        </w:rPr>
        <w:t>Na prirast dagnji utječu veličina i dob jedinke, genotip te ekološki čimbenici (Gosling, 1992; 2003). Najvažniji ekološki čimbenik rasta je hrana (plankton). Ostali čimbenici važni za rast jesu temperatura, salinitet i količina hranjivih soli u morskoj vodi. Kada je temperatura mora preko 10</w:t>
      </w:r>
      <w:bookmarkStart w:id="3" w:name="_Hlk511933353"/>
      <w:r w:rsidRPr="00F63CE3">
        <w:rPr>
          <w:rFonts w:ascii="Arial" w:hAnsi="Arial" w:cs="Arial"/>
        </w:rPr>
        <w:t>° C</w:t>
      </w:r>
      <w:bookmarkEnd w:id="3"/>
      <w:r w:rsidRPr="00F63CE3">
        <w:rPr>
          <w:rFonts w:ascii="Arial" w:hAnsi="Arial" w:cs="Arial"/>
        </w:rPr>
        <w:t xml:space="preserve"> i kada je hrana dostupna, stopa rasta dagnji je visoka, a opada kada je temperatura i koncentracija hrane niža (Rodhouse i sur., 1984). </w:t>
      </w:r>
      <w:bookmarkStart w:id="4" w:name="_Hlk512436278"/>
      <w:r w:rsidRPr="00F63CE3">
        <w:rPr>
          <w:rFonts w:ascii="Arial" w:hAnsi="Arial" w:cs="Arial"/>
        </w:rPr>
        <w:t>Optimalna temperatura za razvoj dagnji kreće se u rasponu od 10° do 20° C, pr</w:t>
      </w:r>
      <w:bookmarkEnd w:id="4"/>
      <w:r w:rsidRPr="00F63CE3">
        <w:rPr>
          <w:rFonts w:ascii="Arial" w:hAnsi="Arial" w:cs="Arial"/>
        </w:rPr>
        <w:t>i temperaturama ispod 5°C i iznad 20°C prirast je usporen (Gosling, 2003; Župan i Šarić, 2014). Kod temperature mora od 30° C u razdoblju od 20 dana stopa smrtnosti dagnji iznosi 100% (Anestis i sur.,2007).</w:t>
      </w:r>
    </w:p>
    <w:p w:rsidR="00AE6339" w:rsidRPr="00F63CE3" w:rsidRDefault="00AE6339" w:rsidP="00AE6339">
      <w:pPr>
        <w:spacing w:line="240" w:lineRule="auto"/>
        <w:jc w:val="both"/>
        <w:rPr>
          <w:rFonts w:ascii="Arial" w:hAnsi="Arial" w:cs="Arial"/>
        </w:rPr>
      </w:pPr>
      <w:r w:rsidRPr="00F63CE3">
        <w:rPr>
          <w:rFonts w:ascii="Arial" w:hAnsi="Arial" w:cs="Arial"/>
        </w:rPr>
        <w:t xml:space="preserve">Osim temperature mora značajan uvjet za proizvodnju mlađi je i priliv slatkih voda koje donose hranjive tvari i snižavaju salinitet morske vode. </w:t>
      </w:r>
      <w:bookmarkStart w:id="5" w:name="_Hlk512436383"/>
      <w:r w:rsidRPr="00F63CE3">
        <w:rPr>
          <w:rFonts w:ascii="Arial" w:hAnsi="Arial" w:cs="Arial"/>
        </w:rPr>
        <w:t xml:space="preserve">Dagnje ostvaruju dobar prirast pri </w:t>
      </w:r>
      <w:bookmarkStart w:id="6" w:name="_Hlk512436325"/>
      <w:r w:rsidRPr="00F63CE3">
        <w:rPr>
          <w:rFonts w:ascii="Arial" w:hAnsi="Arial" w:cs="Arial"/>
        </w:rPr>
        <w:t xml:space="preserve">salinitetu u rasponu od 20 do 35 ‰, </w:t>
      </w:r>
      <w:bookmarkEnd w:id="5"/>
      <w:bookmarkEnd w:id="6"/>
      <w:r w:rsidRPr="00F63CE3">
        <w:rPr>
          <w:rFonts w:ascii="Arial" w:hAnsi="Arial" w:cs="Arial"/>
        </w:rPr>
        <w:t xml:space="preserve">a optimalan salinitet iznosi 25-28 ‰. Dagnje mogu podnijeti oslađeno more i do 18 ‰ bez pojave značajnijih šteta (Spencer, 2003; Župan, 2006). </w:t>
      </w:r>
    </w:p>
    <w:p w:rsidR="00AE6339" w:rsidRPr="00F63CE3" w:rsidRDefault="00AE6339" w:rsidP="00AE6339">
      <w:pPr>
        <w:spacing w:after="0" w:line="240" w:lineRule="auto"/>
        <w:jc w:val="both"/>
        <w:rPr>
          <w:rFonts w:ascii="Arial" w:hAnsi="Arial" w:cs="Arial"/>
        </w:rPr>
      </w:pPr>
      <w:r w:rsidRPr="00F63CE3">
        <w:rPr>
          <w:rFonts w:ascii="Arial" w:hAnsi="Arial" w:cs="Arial"/>
        </w:rPr>
        <w:t>Najpovoljnija područja za rast i razvoj dagnji su umjereno zaštićena područja gdje se uočavaju  jedinke s većim prirastom u odnosu na jedinke koje obitavaju na potpuno zaklonjenim lokacijama ili onima koje su potpuno izložene udarima valova. Veći prirast na umjereno zaštićenom području može se pripisati većoj dostupnosti hrane što je uvjetovano većim protokom mora (Treer i sur.,1995). Dobra pozicija, povoljna za brzi rast podrazumijeva jače strujanje morske vode, blizinu slatkovodnih izvora i ne previše čisto i bistro more (Marušić i sur., 2010). Pri povoljnim ekološkim uvjetima dagnja</w:t>
      </w:r>
      <w:r w:rsidRPr="00F63CE3">
        <w:rPr>
          <w:rFonts w:ascii="Arial" w:hAnsi="Arial" w:cs="Arial"/>
          <w:color w:val="FF0000"/>
        </w:rPr>
        <w:t xml:space="preserve"> </w:t>
      </w:r>
      <w:r w:rsidRPr="00F63CE3">
        <w:rPr>
          <w:rFonts w:ascii="Arial" w:hAnsi="Arial" w:cs="Arial"/>
        </w:rPr>
        <w:t xml:space="preserve">postiže svoju tržnu veličinu (60-80 mm) već u drugoj godini života </w:t>
      </w:r>
      <w:bookmarkStart w:id="7" w:name="_Hlk511933213"/>
      <w:r w:rsidRPr="00F63CE3">
        <w:rPr>
          <w:rFonts w:ascii="Arial" w:hAnsi="Arial" w:cs="Arial"/>
        </w:rPr>
        <w:t>(Marušić i sur., 2010).</w:t>
      </w:r>
      <w:bookmarkEnd w:id="7"/>
    </w:p>
    <w:p w:rsidR="00AE6339" w:rsidRPr="00F63CE3" w:rsidRDefault="00AE6339" w:rsidP="00AE6339">
      <w:pPr>
        <w:spacing w:after="0" w:line="240" w:lineRule="auto"/>
        <w:jc w:val="both"/>
        <w:rPr>
          <w:rFonts w:ascii="Arial" w:hAnsi="Arial" w:cs="Arial"/>
        </w:rPr>
      </w:pPr>
    </w:p>
    <w:p w:rsidR="00AE6339" w:rsidRPr="00F63CE3" w:rsidRDefault="00AE6339" w:rsidP="00AE6339">
      <w:pPr>
        <w:spacing w:line="240" w:lineRule="auto"/>
        <w:jc w:val="both"/>
        <w:rPr>
          <w:rFonts w:ascii="Arial" w:hAnsi="Arial" w:cs="Arial"/>
        </w:rPr>
      </w:pPr>
      <w:r w:rsidRPr="00F63CE3">
        <w:rPr>
          <w:rFonts w:ascii="Arial" w:hAnsi="Arial" w:cs="Arial"/>
        </w:rPr>
        <w:t>U Kaštelanskom zaljevu zbog njegovih geomorfoloških i hidrografskih osobina prevladavaju potencijalno povoljni uvjeti za razvoj školjkaša. Ovo područje je najveći zaljev (14,8 km dug, ~ 6 km širok) u središnjem dijelu istočne obale Jadranskog mora. To je poluzatvoreni zaljev ovalnog oblika s prosječnim vremenom zadržavanja vodenih masa u trajanju jednog mjeseca. Ukupna površina zaljeva je 61 km² s prosječnom dubinom 23 m, što daje ukupni volumen 1,4 km³. More u zaljevu se nalazi pod konstantnim dotokom slatke vode koj</w:t>
      </w:r>
      <w:r w:rsidR="006F7435" w:rsidRPr="00F63CE3">
        <w:rPr>
          <w:rFonts w:ascii="Arial" w:hAnsi="Arial" w:cs="Arial"/>
        </w:rPr>
        <w:t>a</w:t>
      </w:r>
      <w:r w:rsidRPr="00F63CE3">
        <w:rPr>
          <w:rFonts w:ascii="Arial" w:hAnsi="Arial" w:cs="Arial"/>
        </w:rPr>
        <w:t xml:space="preserve"> sa sobom donos</w:t>
      </w:r>
      <w:r w:rsidR="006F7435" w:rsidRPr="00F63CE3">
        <w:rPr>
          <w:rFonts w:ascii="Arial" w:hAnsi="Arial" w:cs="Arial"/>
        </w:rPr>
        <w:t>i</w:t>
      </w:r>
      <w:r w:rsidRPr="00F63CE3">
        <w:rPr>
          <w:rFonts w:ascii="Arial" w:hAnsi="Arial" w:cs="Arial"/>
        </w:rPr>
        <w:t xml:space="preserve"> velike količine hranjiv</w:t>
      </w:r>
      <w:r w:rsidR="006F7435" w:rsidRPr="00F63CE3">
        <w:rPr>
          <w:rFonts w:ascii="Arial" w:hAnsi="Arial" w:cs="Arial"/>
        </w:rPr>
        <w:t>ih</w:t>
      </w:r>
      <w:r w:rsidRPr="00F63CE3">
        <w:rPr>
          <w:rFonts w:ascii="Arial" w:hAnsi="Arial" w:cs="Arial"/>
        </w:rPr>
        <w:t xml:space="preserve"> tvari. Glavni izvori slatke vode su rijeka Jadro i izvorište Pantan te brojni potoci i podzemne vode. Kretanja temperature i saliniteta pokazuju velike sezonske oscilacije pa tako u ljetnim periodima temperatura mora u priobalnom dijelu može priječi 27° C. Prosječne vrijednosti saliniteta se kreću oko 37 ‰ s vrlo izraženim prostornim i vremenskim oscilacijama pa je u znanstvenim literaturama zabilježen i površinski salinitet i ispod 10 ‰ za to područje (Zore-Armanda, 1980; Odžak i sur. 2000; Bojanić i sur., 2006). </w:t>
      </w:r>
    </w:p>
    <w:p w:rsidR="00AE6339" w:rsidRPr="00F63CE3" w:rsidRDefault="00AE6339" w:rsidP="00AE6339">
      <w:pPr>
        <w:spacing w:line="240" w:lineRule="auto"/>
        <w:jc w:val="both"/>
        <w:rPr>
          <w:rFonts w:ascii="Arial" w:hAnsi="Arial" w:cs="Arial"/>
        </w:rPr>
      </w:pPr>
      <w:r w:rsidRPr="00F63CE3">
        <w:rPr>
          <w:rFonts w:ascii="Arial" w:hAnsi="Arial" w:cs="Arial"/>
        </w:rPr>
        <w:t>Prilikom mjerenja fizikalno kemijskih čimbenika morske vode, u sklopu GLOBE projekta</w:t>
      </w:r>
      <w:r w:rsidR="00F54C09" w:rsidRPr="00F63CE3">
        <w:rPr>
          <w:rFonts w:ascii="Arial" w:hAnsi="Arial" w:cs="Arial"/>
        </w:rPr>
        <w:t>,</w:t>
      </w:r>
      <w:r w:rsidRPr="00F63CE3">
        <w:rPr>
          <w:rFonts w:ascii="Arial" w:hAnsi="Arial" w:cs="Arial"/>
        </w:rPr>
        <w:t xml:space="preserve"> primijećena su znatno gušća naselja dagnji na postaji Porat u Kaštel Novom u središnjem dijelu Kaštelanskog zaljeva u odnosu na populacije na lokalitetu lučica Instituta za </w:t>
      </w:r>
      <w:r w:rsidRPr="00F63CE3">
        <w:rPr>
          <w:rFonts w:ascii="Arial" w:hAnsi="Arial" w:cs="Arial"/>
        </w:rPr>
        <w:lastRenderedPageBreak/>
        <w:t>oceanografiju i ribarstvo, koji se nalazi na južnoj strani zaljeva i graniči s otvorenim morem</w:t>
      </w:r>
      <w:r w:rsidR="00FF3060" w:rsidRPr="00F63CE3">
        <w:rPr>
          <w:rFonts w:ascii="Arial" w:hAnsi="Arial" w:cs="Arial"/>
        </w:rPr>
        <w:t xml:space="preserve"> (Slika 1)</w:t>
      </w:r>
      <w:r w:rsidRPr="00F63CE3">
        <w:rPr>
          <w:rFonts w:ascii="Arial" w:hAnsi="Arial" w:cs="Arial"/>
        </w:rPr>
        <w:t>.</w:t>
      </w:r>
    </w:p>
    <w:p w:rsidR="00AE6339" w:rsidRPr="00F63CE3" w:rsidRDefault="00227B9C" w:rsidP="002A3F78">
      <w:pPr>
        <w:spacing w:after="0"/>
        <w:jc w:val="center"/>
        <w:rPr>
          <w:rFonts w:ascii="Arial" w:hAnsi="Arial" w:cs="Arial"/>
        </w:rPr>
      </w:pPr>
      <w:r w:rsidRPr="00F63CE3">
        <w:rPr>
          <w:rFonts w:ascii="Arial" w:hAnsi="Arial" w:cs="Arial"/>
          <w:noProof/>
          <w:lang w:eastAsia="hr-BA"/>
        </w:rPr>
        <w:drawing>
          <wp:inline distT="0" distB="0" distL="0" distR="0">
            <wp:extent cx="4343400" cy="2304758"/>
            <wp:effectExtent l="0" t="0" r="0" b="63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staje.jpg"/>
                    <pic:cNvPicPr/>
                  </pic:nvPicPr>
                  <pic:blipFill>
                    <a:blip r:embed="rId8">
                      <a:extLst>
                        <a:ext uri="{28A0092B-C50C-407E-A947-70E740481C1C}">
                          <a14:useLocalDpi xmlns:a14="http://schemas.microsoft.com/office/drawing/2010/main" val="0"/>
                        </a:ext>
                      </a:extLst>
                    </a:blip>
                    <a:stretch>
                      <a:fillRect/>
                    </a:stretch>
                  </pic:blipFill>
                  <pic:spPr>
                    <a:xfrm>
                      <a:off x="0" y="0"/>
                      <a:ext cx="4377131" cy="2322657"/>
                    </a:xfrm>
                    <a:prstGeom prst="rect">
                      <a:avLst/>
                    </a:prstGeom>
                  </pic:spPr>
                </pic:pic>
              </a:graphicData>
            </a:graphic>
          </wp:inline>
        </w:drawing>
      </w:r>
    </w:p>
    <w:p w:rsidR="0028423E" w:rsidRPr="00F63CE3" w:rsidRDefault="00AE6339" w:rsidP="00AE6339">
      <w:pPr>
        <w:spacing w:line="240" w:lineRule="auto"/>
        <w:rPr>
          <w:rFonts w:ascii="Arial" w:hAnsi="Arial" w:cs="Arial"/>
        </w:rPr>
      </w:pPr>
      <w:r w:rsidRPr="00F63CE3">
        <w:rPr>
          <w:rFonts w:ascii="Arial" w:hAnsi="Arial" w:cs="Arial"/>
        </w:rPr>
        <w:t xml:space="preserve">Slika 1. Kaštelanski zaljev i područja uzorkovanja; </w:t>
      </w:r>
      <w:r w:rsidR="001827AF" w:rsidRPr="00F63CE3">
        <w:rPr>
          <w:rFonts w:ascii="Arial" w:hAnsi="Arial" w:cs="Arial"/>
        </w:rPr>
        <w:t xml:space="preserve">A) </w:t>
      </w:r>
      <w:r w:rsidRPr="00F63CE3">
        <w:rPr>
          <w:rFonts w:ascii="Arial" w:hAnsi="Arial" w:cs="Arial"/>
        </w:rPr>
        <w:t xml:space="preserve">Porat – Kaštel </w:t>
      </w:r>
      <w:r w:rsidR="00832CF4" w:rsidRPr="00F63CE3">
        <w:rPr>
          <w:rFonts w:ascii="Arial" w:hAnsi="Arial" w:cs="Arial"/>
        </w:rPr>
        <w:t>N</w:t>
      </w:r>
      <w:r w:rsidRPr="00F63CE3">
        <w:rPr>
          <w:rFonts w:ascii="Arial" w:hAnsi="Arial" w:cs="Arial"/>
        </w:rPr>
        <w:t xml:space="preserve">ovi; </w:t>
      </w:r>
      <w:r w:rsidR="001827AF" w:rsidRPr="00F63CE3">
        <w:rPr>
          <w:rFonts w:ascii="Arial" w:hAnsi="Arial" w:cs="Arial"/>
        </w:rPr>
        <w:t xml:space="preserve">B) </w:t>
      </w:r>
      <w:r w:rsidRPr="00F63CE3">
        <w:rPr>
          <w:rFonts w:ascii="Arial" w:hAnsi="Arial" w:cs="Arial"/>
        </w:rPr>
        <w:t>Institut – Rt Marjana</w:t>
      </w:r>
      <w:r w:rsidR="00832CF4" w:rsidRPr="00F63CE3">
        <w:rPr>
          <w:rFonts w:ascii="Arial" w:hAnsi="Arial" w:cs="Arial"/>
        </w:rPr>
        <w:t xml:space="preserve">. </w:t>
      </w:r>
      <w:r w:rsidR="001827AF" w:rsidRPr="00F63CE3">
        <w:rPr>
          <w:rFonts w:ascii="Arial" w:hAnsi="Arial" w:cs="Arial"/>
        </w:rPr>
        <w:t xml:space="preserve">                                                                                                                                 </w:t>
      </w:r>
      <w:r w:rsidR="00832CF4" w:rsidRPr="00E4471A">
        <w:rPr>
          <w:rFonts w:ascii="Arial" w:hAnsi="Arial" w:cs="Arial"/>
          <w:color w:val="808080" w:themeColor="background1" w:themeShade="80"/>
        </w:rPr>
        <w:t xml:space="preserve">Figure 1. </w:t>
      </w:r>
      <w:r w:rsidR="00832CF4" w:rsidRPr="00E4471A">
        <w:rPr>
          <w:rFonts w:ascii="Arial" w:hAnsi="Arial" w:cs="Arial"/>
          <w:color w:val="808080" w:themeColor="background1" w:themeShade="80"/>
          <w:lang w:val="en-US"/>
        </w:rPr>
        <w:t>Kaštela bay and sampling areas</w:t>
      </w:r>
      <w:r w:rsidR="00832CF4" w:rsidRPr="00E4471A">
        <w:rPr>
          <w:rFonts w:ascii="Arial" w:hAnsi="Arial" w:cs="Arial"/>
          <w:color w:val="808080" w:themeColor="background1" w:themeShade="80"/>
        </w:rPr>
        <w:t xml:space="preserve">; </w:t>
      </w:r>
      <w:r w:rsidR="001827AF" w:rsidRPr="00E4471A">
        <w:rPr>
          <w:rFonts w:ascii="Arial" w:hAnsi="Arial" w:cs="Arial"/>
          <w:color w:val="808080" w:themeColor="background1" w:themeShade="80"/>
        </w:rPr>
        <w:t xml:space="preserve">A) </w:t>
      </w:r>
      <w:r w:rsidR="00832CF4" w:rsidRPr="00E4471A">
        <w:rPr>
          <w:rFonts w:ascii="Arial" w:hAnsi="Arial" w:cs="Arial"/>
          <w:color w:val="808080" w:themeColor="background1" w:themeShade="80"/>
        </w:rPr>
        <w:t xml:space="preserve">Porat – Kaštel Novi; </w:t>
      </w:r>
      <w:r w:rsidR="001827AF" w:rsidRPr="00E4471A">
        <w:rPr>
          <w:rFonts w:ascii="Arial" w:hAnsi="Arial" w:cs="Arial"/>
          <w:color w:val="808080" w:themeColor="background1" w:themeShade="80"/>
        </w:rPr>
        <w:t xml:space="preserve">B) </w:t>
      </w:r>
      <w:r w:rsidR="00832CF4" w:rsidRPr="00E4471A">
        <w:rPr>
          <w:rFonts w:ascii="Arial" w:hAnsi="Arial" w:cs="Arial"/>
          <w:color w:val="808080" w:themeColor="background1" w:themeShade="80"/>
        </w:rPr>
        <w:t>Institut</w:t>
      </w:r>
      <w:r w:rsidR="009C29E7" w:rsidRPr="00E4471A">
        <w:rPr>
          <w:rFonts w:ascii="Arial" w:hAnsi="Arial" w:cs="Arial"/>
          <w:color w:val="808080" w:themeColor="background1" w:themeShade="80"/>
        </w:rPr>
        <w:t>e</w:t>
      </w:r>
      <w:r w:rsidR="00832CF4" w:rsidRPr="00E4471A">
        <w:rPr>
          <w:rFonts w:ascii="Arial" w:hAnsi="Arial" w:cs="Arial"/>
          <w:color w:val="808080" w:themeColor="background1" w:themeShade="80"/>
        </w:rPr>
        <w:t xml:space="preserve"> – Rt Marjana.</w:t>
      </w:r>
    </w:p>
    <w:p w:rsidR="00AE6339" w:rsidRPr="00F63CE3" w:rsidRDefault="00B179E0" w:rsidP="00AE6339">
      <w:pPr>
        <w:spacing w:line="240" w:lineRule="auto"/>
        <w:jc w:val="both"/>
        <w:rPr>
          <w:rFonts w:ascii="Arial" w:hAnsi="Arial" w:cs="Arial"/>
        </w:rPr>
      </w:pPr>
      <w:r w:rsidRPr="00F63CE3">
        <w:rPr>
          <w:rFonts w:ascii="Arial" w:hAnsi="Arial" w:cs="Arial"/>
        </w:rPr>
        <w:t>Istraživačka</w:t>
      </w:r>
      <w:r w:rsidR="001F02DC" w:rsidRPr="00F63CE3">
        <w:rPr>
          <w:rFonts w:ascii="Arial" w:hAnsi="Arial" w:cs="Arial"/>
        </w:rPr>
        <w:t xml:space="preserve"> pitanja na koja se pokušalo odgovoriti su sljedeća:</w:t>
      </w:r>
      <w:r w:rsidR="00AE6339" w:rsidRPr="00F63CE3">
        <w:rPr>
          <w:rFonts w:ascii="Arial" w:hAnsi="Arial" w:cs="Arial"/>
        </w:rPr>
        <w:t xml:space="preserve"> Zbog čega su populacije dagnji razvijenije u središnjem dijelu Kaštelanskog zaljeva u odnosu na populacije na lokalitetu lučica Instituta za oceanografiju i ribarstvo, koji se nalazi na južnoj strani zaljeva i granič</w:t>
      </w:r>
      <w:r w:rsidR="003F4488" w:rsidRPr="00F63CE3">
        <w:rPr>
          <w:rFonts w:ascii="Arial" w:hAnsi="Arial" w:cs="Arial"/>
        </w:rPr>
        <w:t>i s otvorenim morem</w:t>
      </w:r>
      <w:r w:rsidR="00AE6339" w:rsidRPr="00F63CE3">
        <w:rPr>
          <w:rFonts w:ascii="Arial" w:hAnsi="Arial" w:cs="Arial"/>
        </w:rPr>
        <w:t>? Po kojim se fizikalno – kemijskim čimbenicima razlikuje morska voda na ova dva lokaliteta?</w:t>
      </w:r>
    </w:p>
    <w:p w:rsidR="00AE6339" w:rsidRPr="00F63CE3" w:rsidRDefault="00AE6339" w:rsidP="00AE6339">
      <w:pPr>
        <w:spacing w:line="240" w:lineRule="auto"/>
        <w:jc w:val="both"/>
        <w:rPr>
          <w:rFonts w:ascii="Arial" w:hAnsi="Arial" w:cs="Arial"/>
        </w:rPr>
      </w:pPr>
      <w:r w:rsidRPr="00F63CE3">
        <w:rPr>
          <w:rFonts w:ascii="Arial" w:hAnsi="Arial" w:cs="Arial"/>
        </w:rPr>
        <w:t>Hipoteza</w:t>
      </w:r>
      <w:r w:rsidR="00662F26" w:rsidRPr="00F63CE3">
        <w:rPr>
          <w:rFonts w:ascii="Arial" w:hAnsi="Arial" w:cs="Arial"/>
        </w:rPr>
        <w:t>: Pretpostavljamo da je more u K</w:t>
      </w:r>
      <w:r w:rsidRPr="00F63CE3">
        <w:rPr>
          <w:rFonts w:ascii="Arial" w:hAnsi="Arial" w:cs="Arial"/>
        </w:rPr>
        <w:t>aštelanskom zaljevu zbog dotoka slatke vode povoljnije slanosti i temperature za rast i reprodukciju dagnje.</w:t>
      </w:r>
    </w:p>
    <w:p w:rsidR="00AE6339" w:rsidRPr="00F63CE3" w:rsidRDefault="00AE6339" w:rsidP="00AE6339">
      <w:pPr>
        <w:spacing w:line="240" w:lineRule="auto"/>
        <w:jc w:val="both"/>
        <w:outlineLvl w:val="0"/>
        <w:rPr>
          <w:rFonts w:ascii="Arial" w:hAnsi="Arial" w:cs="Arial"/>
          <w:b/>
          <w:iCs/>
        </w:rPr>
      </w:pPr>
      <w:r w:rsidRPr="00F63CE3">
        <w:rPr>
          <w:rFonts w:ascii="Arial" w:hAnsi="Arial" w:cs="Arial"/>
          <w:b/>
          <w:iCs/>
        </w:rPr>
        <w:t>Metode istraživanja</w:t>
      </w:r>
    </w:p>
    <w:p w:rsidR="00AE6339" w:rsidRPr="00F63CE3" w:rsidRDefault="00AE6339" w:rsidP="00AE6339">
      <w:pPr>
        <w:spacing w:line="240" w:lineRule="auto"/>
        <w:jc w:val="both"/>
        <w:rPr>
          <w:rFonts w:ascii="Arial" w:hAnsi="Arial" w:cs="Arial"/>
        </w:rPr>
      </w:pPr>
      <w:r w:rsidRPr="00F63CE3">
        <w:rPr>
          <w:rFonts w:ascii="Arial" w:hAnsi="Arial" w:cs="Arial"/>
        </w:rPr>
        <w:t>Uzorkovanja u sklopu ovog projekta provedena su na dvije postaje, Porat – Kaštel Novi (gradska lučica) i postaja Institut za oceanografiju i ribarstvo (Split) u razdoblju od 1.studenog 2017. do 20. veljače 2018. s ciljem određivanja prirasta dagnje (</w:t>
      </w:r>
      <w:r w:rsidRPr="00F63CE3">
        <w:rPr>
          <w:rFonts w:ascii="Arial" w:hAnsi="Arial" w:cs="Arial"/>
          <w:i/>
        </w:rPr>
        <w:t>Mytilus galloprovincialis</w:t>
      </w:r>
      <w:r w:rsidRPr="00F63CE3">
        <w:rPr>
          <w:rFonts w:ascii="Arial" w:hAnsi="Arial" w:cs="Arial"/>
        </w:rPr>
        <w:t xml:space="preserve"> )  u odnosu na ekološke čimbenike kao što su salinitet i temperatura. Tijekom rada na terenu mjereni su slijedeći parametri: gustoća populacije, dužinska struktura populacije prema ukupnoj dužini i širini tijela, površinska temperatura mora, salinitet i prozirnost mora.</w:t>
      </w:r>
    </w:p>
    <w:p w:rsidR="00AE6339" w:rsidRPr="00F63CE3" w:rsidRDefault="00AE6339" w:rsidP="00AE6339">
      <w:pPr>
        <w:spacing w:line="240" w:lineRule="auto"/>
        <w:jc w:val="both"/>
        <w:rPr>
          <w:rFonts w:ascii="Arial" w:hAnsi="Arial" w:cs="Arial"/>
        </w:rPr>
      </w:pPr>
      <w:r w:rsidRPr="00F63CE3">
        <w:rPr>
          <w:rFonts w:ascii="Arial" w:hAnsi="Arial" w:cs="Arial"/>
        </w:rPr>
        <w:t>Na teren se izlazilo svakih 15 dana na postaji Porat, a na postaji Institut jednom mjesečno. Na postaji Porat – Kaštel Novi, na pet mjesta  je određivana brojnost populacije u odnosu na jediničnu površinu od 400 cm</w:t>
      </w:r>
      <w:r w:rsidRPr="00F63CE3">
        <w:rPr>
          <w:rFonts w:ascii="Arial" w:hAnsi="Arial" w:cs="Arial"/>
          <w:vertAlign w:val="superscript"/>
        </w:rPr>
        <w:t xml:space="preserve">2 </w:t>
      </w:r>
      <w:r w:rsidRPr="00F63CE3">
        <w:rPr>
          <w:rFonts w:ascii="Arial" w:hAnsi="Arial" w:cs="Arial"/>
        </w:rPr>
        <w:t>(kvadrat 20</w:t>
      </w:r>
      <w:r w:rsidR="00ED66DD">
        <w:rPr>
          <w:rFonts w:ascii="Arial" w:hAnsi="Arial" w:cs="Arial"/>
        </w:rPr>
        <w:t xml:space="preserve"> </w:t>
      </w:r>
      <w:r w:rsidRPr="00F63CE3">
        <w:rPr>
          <w:rFonts w:ascii="Arial" w:hAnsi="Arial" w:cs="Arial"/>
        </w:rPr>
        <w:t>x</w:t>
      </w:r>
      <w:r w:rsidR="00ED66DD">
        <w:rPr>
          <w:rFonts w:ascii="Arial" w:hAnsi="Arial" w:cs="Arial"/>
        </w:rPr>
        <w:t xml:space="preserve"> </w:t>
      </w:r>
      <w:r w:rsidRPr="00F63CE3">
        <w:rPr>
          <w:rFonts w:ascii="Arial" w:hAnsi="Arial" w:cs="Arial"/>
        </w:rPr>
        <w:t>20</w:t>
      </w:r>
      <w:r w:rsidR="00ED66DD">
        <w:rPr>
          <w:rFonts w:ascii="Arial" w:hAnsi="Arial" w:cs="Arial"/>
        </w:rPr>
        <w:t xml:space="preserve"> </w:t>
      </w:r>
      <w:r w:rsidRPr="00F63CE3">
        <w:rPr>
          <w:rFonts w:ascii="Arial" w:hAnsi="Arial" w:cs="Arial"/>
        </w:rPr>
        <w:t xml:space="preserve">cm). Za određivanje dužinske strukture školjkaša uzorkovano je 40 jedinki prilikom svakog izlaska na teren pri čemu se izuzetno pazilo da se uzorkovanje ne preklapa s mjestom određivanja gustoće. Dužinska struktura populacija je mjerena preciznošću do 1 mm pomoću pomične mjerke. </w:t>
      </w:r>
    </w:p>
    <w:p w:rsidR="00AE6339" w:rsidRPr="00F63CE3" w:rsidRDefault="00AE6339" w:rsidP="00AE6339">
      <w:pPr>
        <w:spacing w:line="240" w:lineRule="auto"/>
        <w:jc w:val="both"/>
        <w:rPr>
          <w:rFonts w:ascii="Arial" w:hAnsi="Arial" w:cs="Arial"/>
        </w:rPr>
      </w:pPr>
      <w:r w:rsidRPr="00F63CE3">
        <w:rPr>
          <w:rFonts w:ascii="Arial" w:hAnsi="Arial" w:cs="Arial"/>
        </w:rPr>
        <w:t>Na postaji Institut mjerenja su započela krajem listopada 2017. i trajala su do kraja siječnja 2018. Obzirom da je na postaji Institut utvrđena znatno manja gustoća populacije dagnj</w:t>
      </w:r>
      <w:r w:rsidR="0039232A" w:rsidRPr="00F63CE3">
        <w:rPr>
          <w:rFonts w:ascii="Arial" w:hAnsi="Arial" w:cs="Arial"/>
        </w:rPr>
        <w:t>i</w:t>
      </w:r>
      <w:r w:rsidRPr="00F63CE3">
        <w:rPr>
          <w:rFonts w:ascii="Arial" w:hAnsi="Arial" w:cs="Arial"/>
        </w:rPr>
        <w:t xml:space="preserve">, mjerenja su se uglavnom odvijala na istim jedinkama koje su bile pričvršćene na konopima u zoni plime i oseke te su nakon mjerenja spuštane natrag u more. Imajući u vidu da su jedinke bile pričvršćene na konopima (tzv. pergolari) u kružnom rasporedu, brojnost se određivala na dužini od ≈ 43 cm  da bi se dobila slična površina mjerenja kao i na </w:t>
      </w:r>
      <w:r w:rsidR="0039232A" w:rsidRPr="00F63CE3">
        <w:rPr>
          <w:rFonts w:ascii="Arial" w:hAnsi="Arial" w:cs="Arial"/>
        </w:rPr>
        <w:t>postaji</w:t>
      </w:r>
      <w:r w:rsidRPr="00F63CE3">
        <w:rPr>
          <w:rFonts w:ascii="Arial" w:hAnsi="Arial" w:cs="Arial"/>
        </w:rPr>
        <w:t xml:space="preserve"> Porat Kaštel Nov</w:t>
      </w:r>
      <w:r w:rsidR="0039232A" w:rsidRPr="00F63CE3">
        <w:rPr>
          <w:rFonts w:ascii="Arial" w:hAnsi="Arial" w:cs="Arial"/>
        </w:rPr>
        <w:t>i</w:t>
      </w:r>
      <w:r w:rsidRPr="00F63CE3">
        <w:rPr>
          <w:rFonts w:ascii="Arial" w:hAnsi="Arial" w:cs="Arial"/>
        </w:rPr>
        <w:t xml:space="preserve"> (400 cm</w:t>
      </w:r>
      <w:r w:rsidRPr="00F63CE3">
        <w:rPr>
          <w:rFonts w:ascii="Arial" w:hAnsi="Arial" w:cs="Arial"/>
          <w:vertAlign w:val="superscript"/>
        </w:rPr>
        <w:t>2</w:t>
      </w:r>
      <w:r w:rsidRPr="00F63CE3">
        <w:rPr>
          <w:rFonts w:ascii="Arial" w:hAnsi="Arial" w:cs="Arial"/>
        </w:rPr>
        <w:t xml:space="preserve">). Mjerene su jedinke na dva mjesta s tog lokaliteta. Mjerenje dužinske strukture zasnivalo se na uzorku od 50-tak jedinki koje su mjerene iz mjeseca u mjesec i uvijek žive vraćene u more. Sveukupno je izvršeno 181 mjerenje dužina tijekom istraživanja. Zbog </w:t>
      </w:r>
      <w:r w:rsidRPr="00F63CE3">
        <w:rPr>
          <w:rFonts w:ascii="Arial" w:hAnsi="Arial" w:cs="Arial"/>
        </w:rPr>
        <w:lastRenderedPageBreak/>
        <w:t xml:space="preserve">gustoće jedinki u koloniji nije bilo moguće mjeriti širinu dagnji jer bi to dovelo do kidanja bisusnih niti prilikom rukovanja što bi rezultiralo gubitkom jedinki. </w:t>
      </w:r>
    </w:p>
    <w:p w:rsidR="00441069" w:rsidRPr="00F63CE3" w:rsidRDefault="00441069" w:rsidP="00AE6339">
      <w:pPr>
        <w:spacing w:line="240" w:lineRule="auto"/>
        <w:jc w:val="both"/>
        <w:rPr>
          <w:rFonts w:ascii="Arial" w:hAnsi="Arial" w:cs="Arial"/>
        </w:rPr>
      </w:pPr>
      <w:r w:rsidRPr="00F63CE3">
        <w:rPr>
          <w:rFonts w:ascii="Arial" w:hAnsi="Arial" w:cs="Arial"/>
        </w:rPr>
        <w:t>Na postaji Porat jednom tjedno provode se mjerenja fizikalno kemijskih svojstava vode (temp</w:t>
      </w:r>
      <w:r w:rsidR="006F0C57" w:rsidRPr="00F63CE3">
        <w:rPr>
          <w:rFonts w:ascii="Arial" w:hAnsi="Arial" w:cs="Arial"/>
        </w:rPr>
        <w:t>erature</w:t>
      </w:r>
      <w:r w:rsidRPr="00F63CE3">
        <w:rPr>
          <w:rFonts w:ascii="Arial" w:hAnsi="Arial" w:cs="Arial"/>
        </w:rPr>
        <w:t>, pH, gustoć</w:t>
      </w:r>
      <w:r w:rsidR="0045217C" w:rsidRPr="00F63CE3">
        <w:rPr>
          <w:rFonts w:ascii="Arial" w:hAnsi="Arial" w:cs="Arial"/>
        </w:rPr>
        <w:t>e</w:t>
      </w:r>
      <w:r w:rsidRPr="00F63CE3">
        <w:rPr>
          <w:rFonts w:ascii="Arial" w:hAnsi="Arial" w:cs="Arial"/>
        </w:rPr>
        <w:t>, salinitet</w:t>
      </w:r>
      <w:r w:rsidR="0045217C" w:rsidRPr="00F63CE3">
        <w:rPr>
          <w:rFonts w:ascii="Arial" w:hAnsi="Arial" w:cs="Arial"/>
        </w:rPr>
        <w:t>a</w:t>
      </w:r>
      <w:r w:rsidRPr="00F63CE3">
        <w:rPr>
          <w:rFonts w:ascii="Arial" w:hAnsi="Arial" w:cs="Arial"/>
        </w:rPr>
        <w:t>, prozirnost</w:t>
      </w:r>
      <w:r w:rsidR="0045217C" w:rsidRPr="00F63CE3">
        <w:rPr>
          <w:rFonts w:ascii="Arial" w:hAnsi="Arial" w:cs="Arial"/>
        </w:rPr>
        <w:t>i</w:t>
      </w:r>
      <w:r w:rsidRPr="00F63CE3">
        <w:rPr>
          <w:rFonts w:ascii="Arial" w:hAnsi="Arial" w:cs="Arial"/>
        </w:rPr>
        <w:t xml:space="preserve"> te nitrat</w:t>
      </w:r>
      <w:r w:rsidR="0045217C" w:rsidRPr="00F63CE3">
        <w:rPr>
          <w:rFonts w:ascii="Arial" w:hAnsi="Arial" w:cs="Arial"/>
        </w:rPr>
        <w:t>a</w:t>
      </w:r>
      <w:r w:rsidRPr="00F63CE3">
        <w:rPr>
          <w:rFonts w:ascii="Arial" w:hAnsi="Arial" w:cs="Arial"/>
        </w:rPr>
        <w:t>/nitrit</w:t>
      </w:r>
      <w:r w:rsidR="0045217C" w:rsidRPr="00F63CE3">
        <w:rPr>
          <w:rFonts w:ascii="Arial" w:hAnsi="Arial" w:cs="Arial"/>
        </w:rPr>
        <w:t>a</w:t>
      </w:r>
      <w:r w:rsidRPr="00F63CE3">
        <w:rPr>
          <w:rFonts w:ascii="Arial" w:hAnsi="Arial" w:cs="Arial"/>
        </w:rPr>
        <w:t>) prema GLOBE protokolima. Od navedenih nama su najinteresantniji temperatura i salinitet za praćenje rasta dagnji.</w:t>
      </w:r>
    </w:p>
    <w:p w:rsidR="00AE6339" w:rsidRPr="00F63CE3" w:rsidRDefault="00AE6339" w:rsidP="00AE6339">
      <w:pPr>
        <w:spacing w:line="240" w:lineRule="auto"/>
        <w:jc w:val="both"/>
        <w:outlineLvl w:val="0"/>
        <w:rPr>
          <w:rFonts w:ascii="Arial" w:hAnsi="Arial" w:cs="Arial"/>
          <w:b/>
          <w:iCs/>
        </w:rPr>
      </w:pPr>
      <w:r w:rsidRPr="00F63CE3">
        <w:rPr>
          <w:rFonts w:ascii="Arial" w:hAnsi="Arial" w:cs="Arial"/>
          <w:b/>
          <w:iCs/>
        </w:rPr>
        <w:t>Prikaz i analiza podataka</w:t>
      </w:r>
    </w:p>
    <w:p w:rsidR="00AE6339" w:rsidRPr="00F63CE3" w:rsidRDefault="00AE6339" w:rsidP="00AE6339">
      <w:pPr>
        <w:spacing w:line="240" w:lineRule="auto"/>
        <w:jc w:val="both"/>
        <w:rPr>
          <w:rFonts w:ascii="Arial" w:hAnsi="Arial" w:cs="Arial"/>
        </w:rPr>
      </w:pPr>
      <w:r w:rsidRPr="00F63CE3">
        <w:rPr>
          <w:rFonts w:ascii="Arial" w:hAnsi="Arial" w:cs="Arial"/>
        </w:rPr>
        <w:t>Srednja vrijednost gustoće populacije školjkaša na istraživano</w:t>
      </w:r>
      <w:r w:rsidR="003B7E98" w:rsidRPr="00F63CE3">
        <w:rPr>
          <w:rFonts w:ascii="Arial" w:hAnsi="Arial" w:cs="Arial"/>
        </w:rPr>
        <w:t>j</w:t>
      </w:r>
      <w:r w:rsidRPr="00F63CE3">
        <w:rPr>
          <w:rFonts w:ascii="Arial" w:hAnsi="Arial" w:cs="Arial"/>
        </w:rPr>
        <w:t xml:space="preserve"> </w:t>
      </w:r>
      <w:r w:rsidR="003B7E98" w:rsidRPr="00F63CE3">
        <w:rPr>
          <w:rFonts w:ascii="Arial" w:hAnsi="Arial" w:cs="Arial"/>
        </w:rPr>
        <w:t>postaji Porat-</w:t>
      </w:r>
      <w:r w:rsidRPr="00F63CE3">
        <w:rPr>
          <w:rFonts w:ascii="Arial" w:hAnsi="Arial" w:cs="Arial"/>
        </w:rPr>
        <w:t xml:space="preserve"> Kaštel Nov</w:t>
      </w:r>
      <w:r w:rsidR="003B7E98" w:rsidRPr="00F63CE3">
        <w:rPr>
          <w:rFonts w:ascii="Arial" w:hAnsi="Arial" w:cs="Arial"/>
        </w:rPr>
        <w:t>i</w:t>
      </w:r>
      <w:r w:rsidRPr="00F63CE3">
        <w:rPr>
          <w:rFonts w:ascii="Arial" w:hAnsi="Arial" w:cs="Arial"/>
        </w:rPr>
        <w:t xml:space="preserve"> u jesensko-zimskom periodu kretala se u rasponu od 50 do 134 jedinke sa srednjom vrijednošću od približno 75 jedinki po jediničnoj površini (400cm</w:t>
      </w:r>
      <w:r w:rsidRPr="00F63CE3">
        <w:rPr>
          <w:rFonts w:ascii="Arial" w:hAnsi="Arial" w:cs="Arial"/>
          <w:vertAlign w:val="superscript"/>
        </w:rPr>
        <w:t>2</w:t>
      </w:r>
      <w:r w:rsidRPr="00F63CE3">
        <w:rPr>
          <w:rFonts w:ascii="Arial" w:hAnsi="Arial" w:cs="Arial"/>
        </w:rPr>
        <w:t>).</w:t>
      </w:r>
      <w:r w:rsidRPr="00F63CE3">
        <w:rPr>
          <w:rFonts w:ascii="Arial" w:hAnsi="Arial" w:cs="Arial"/>
          <w:vertAlign w:val="superscript"/>
        </w:rPr>
        <w:t xml:space="preserve"> </w:t>
      </w:r>
      <w:r w:rsidRPr="00F63CE3">
        <w:rPr>
          <w:rFonts w:ascii="Arial" w:hAnsi="Arial" w:cs="Arial"/>
        </w:rPr>
        <w:t>Tijekom istraživanog razdoblja uočeno je konstantno opadanje brojnosti školjkaša</w:t>
      </w:r>
      <w:r w:rsidR="006A7E55" w:rsidRPr="00F63CE3">
        <w:rPr>
          <w:rFonts w:ascii="Arial" w:hAnsi="Arial" w:cs="Arial"/>
        </w:rPr>
        <w:t xml:space="preserve"> (lokalni stanovnici  u ribolovu koriste dagnje kao mamac)</w:t>
      </w:r>
      <w:r w:rsidRPr="00F63CE3">
        <w:rPr>
          <w:rFonts w:ascii="Arial" w:hAnsi="Arial" w:cs="Arial"/>
        </w:rPr>
        <w:t xml:space="preserve"> kao i velika varijabilnost u brojnosti između svih 5 mjesta uzorkovanja tijekom čitavog raz</w:t>
      </w:r>
      <w:r w:rsidR="006A7E55" w:rsidRPr="00F63CE3">
        <w:rPr>
          <w:rFonts w:ascii="Arial" w:hAnsi="Arial" w:cs="Arial"/>
        </w:rPr>
        <w:t>doblja istraživanja) (Tablica 1).</w:t>
      </w:r>
    </w:p>
    <w:p w:rsidR="0028423E" w:rsidRPr="00F63CE3" w:rsidRDefault="00AE6339" w:rsidP="005C26E2">
      <w:pPr>
        <w:tabs>
          <w:tab w:val="left" w:pos="2265"/>
        </w:tabs>
        <w:spacing w:line="240" w:lineRule="auto"/>
        <w:rPr>
          <w:rFonts w:ascii="Arial" w:hAnsi="Arial" w:cs="Arial"/>
        </w:rPr>
      </w:pPr>
      <w:r w:rsidRPr="00F63CE3">
        <w:rPr>
          <w:rFonts w:ascii="Arial" w:hAnsi="Arial" w:cs="Arial"/>
        </w:rPr>
        <w:t>Tablica 1. Gustoća populacije dagnji u odnosu na jediničnu površinu 400 cm</w:t>
      </w:r>
      <w:r w:rsidRPr="00F63CE3">
        <w:rPr>
          <w:rFonts w:ascii="Arial" w:hAnsi="Arial" w:cs="Arial"/>
          <w:vertAlign w:val="superscript"/>
        </w:rPr>
        <w:t>2</w:t>
      </w:r>
      <w:r w:rsidRPr="00F63CE3">
        <w:rPr>
          <w:rFonts w:ascii="Arial" w:hAnsi="Arial" w:cs="Arial"/>
        </w:rPr>
        <w:t xml:space="preserve"> na postaji Porat Kaštel Novi u jesensko-zimskom periodu.</w:t>
      </w:r>
      <w:r w:rsidR="005C26E2" w:rsidRPr="00F63CE3">
        <w:rPr>
          <w:rFonts w:ascii="Arial" w:hAnsi="Arial" w:cs="Arial"/>
        </w:rPr>
        <w:t xml:space="preserve">                                                                           </w:t>
      </w:r>
      <w:r w:rsidR="0028423E" w:rsidRPr="00ED5EA5">
        <w:rPr>
          <w:rFonts w:ascii="Arial" w:hAnsi="Arial" w:cs="Arial"/>
          <w:color w:val="808080" w:themeColor="background1" w:themeShade="80"/>
        </w:rPr>
        <w:t xml:space="preserve">Table 1. </w:t>
      </w:r>
      <w:r w:rsidR="0028423E" w:rsidRPr="00ED5EA5">
        <w:rPr>
          <w:rFonts w:ascii="Arial" w:hAnsi="Arial" w:cs="Arial"/>
          <w:color w:val="808080" w:themeColor="background1" w:themeShade="80"/>
          <w:lang w:val="en-US"/>
        </w:rPr>
        <w:t>Density of mussel population in relation to the unit surface of 400 cm</w:t>
      </w:r>
      <w:r w:rsidR="0028423E" w:rsidRPr="00ED5EA5">
        <w:rPr>
          <w:rFonts w:ascii="Arial" w:hAnsi="Arial" w:cs="Arial"/>
          <w:color w:val="808080" w:themeColor="background1" w:themeShade="80"/>
          <w:vertAlign w:val="superscript"/>
          <w:lang w:val="en-US"/>
        </w:rPr>
        <w:t xml:space="preserve">2 </w:t>
      </w:r>
      <w:r w:rsidR="0028423E" w:rsidRPr="00ED5EA5">
        <w:rPr>
          <w:rFonts w:ascii="Arial" w:hAnsi="Arial" w:cs="Arial"/>
          <w:color w:val="808080" w:themeColor="background1" w:themeShade="80"/>
          <w:lang w:val="en-US"/>
        </w:rPr>
        <w:t>at the Porat Kaštel Novi station in the autumn and winter period.</w:t>
      </w:r>
    </w:p>
    <w:tbl>
      <w:tblPr>
        <w:tblStyle w:val="GridTable2Accent1"/>
        <w:tblW w:w="6806"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696"/>
        <w:gridCol w:w="3613"/>
        <w:gridCol w:w="1497"/>
      </w:tblGrid>
      <w:tr w:rsidR="00AE6339" w:rsidRPr="008B1643" w:rsidTr="00A5358D">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right w:val="none" w:sz="0" w:space="0" w:color="auto"/>
            </w:tcBorders>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Datum</w:t>
            </w:r>
          </w:p>
        </w:tc>
        <w:tc>
          <w:tcPr>
            <w:tcW w:w="3613" w:type="dxa"/>
            <w:tcBorders>
              <w:top w:val="none" w:sz="0" w:space="0" w:color="auto"/>
              <w:left w:val="none" w:sz="0" w:space="0" w:color="auto"/>
              <w:bottom w:val="none" w:sz="0" w:space="0" w:color="auto"/>
              <w:right w:val="none" w:sz="0" w:space="0" w:color="auto"/>
            </w:tcBorders>
            <w:noWrap/>
            <w:vAlign w:val="center"/>
            <w:hideMark/>
          </w:tcPr>
          <w:p w:rsidR="00AE6339" w:rsidRPr="008B1643" w:rsidRDefault="00AE6339" w:rsidP="00F717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Srednja vrijednost brojnosti / 400 cm</w:t>
            </w:r>
            <w:r w:rsidRPr="008B1643">
              <w:rPr>
                <w:rFonts w:ascii="Arial" w:eastAsia="Times New Roman" w:hAnsi="Arial" w:cs="Arial"/>
                <w:color w:val="000000"/>
                <w:sz w:val="18"/>
                <w:vertAlign w:val="superscript"/>
                <w:lang w:val="hr-HR" w:eastAsia="hr-HR"/>
              </w:rPr>
              <w:t>2</w:t>
            </w:r>
          </w:p>
        </w:tc>
        <w:tc>
          <w:tcPr>
            <w:tcW w:w="1497" w:type="dxa"/>
            <w:tcBorders>
              <w:top w:val="none" w:sz="0" w:space="0" w:color="auto"/>
              <w:left w:val="none" w:sz="0" w:space="0" w:color="auto"/>
              <w:bottom w:val="none" w:sz="0" w:space="0" w:color="auto"/>
            </w:tcBorders>
            <w:vAlign w:val="center"/>
          </w:tcPr>
          <w:p w:rsidR="00AE6339" w:rsidRPr="008B1643" w:rsidRDefault="00AE6339" w:rsidP="00F717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Standardna</w:t>
            </w:r>
          </w:p>
          <w:p w:rsidR="00AE6339" w:rsidRPr="008B1643" w:rsidRDefault="00AE6339" w:rsidP="00F717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devijacija</w:t>
            </w:r>
          </w:p>
        </w:tc>
      </w:tr>
      <w:tr w:rsidR="00AE6339" w:rsidRPr="008B1643" w:rsidTr="00A5358D">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10.11.17.</w:t>
            </w:r>
          </w:p>
        </w:tc>
        <w:tc>
          <w:tcPr>
            <w:tcW w:w="3613" w:type="dxa"/>
            <w:noWrap/>
            <w:vAlign w:val="center"/>
            <w:hideMark/>
          </w:tcPr>
          <w:p w:rsidR="00AE6339" w:rsidRPr="008B1643" w:rsidRDefault="00AE6339" w:rsidP="00F7171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134</w:t>
            </w:r>
          </w:p>
        </w:tc>
        <w:tc>
          <w:tcPr>
            <w:tcW w:w="1497" w:type="dxa"/>
            <w:vAlign w:val="center"/>
          </w:tcPr>
          <w:p w:rsidR="00AE6339" w:rsidRPr="008B1643" w:rsidRDefault="00AE6339" w:rsidP="00F7171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63</w:t>
            </w:r>
          </w:p>
        </w:tc>
      </w:tr>
      <w:tr w:rsidR="00AE6339" w:rsidRPr="008B1643" w:rsidTr="00A5358D">
        <w:trPr>
          <w:trHeight w:val="11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24.11.17.</w:t>
            </w:r>
          </w:p>
        </w:tc>
        <w:tc>
          <w:tcPr>
            <w:tcW w:w="3613" w:type="dxa"/>
            <w:noWrap/>
            <w:vAlign w:val="center"/>
            <w:hideMark/>
          </w:tcPr>
          <w:p w:rsidR="00AE6339" w:rsidRPr="008B1643" w:rsidRDefault="00AE6339" w:rsidP="00F717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92</w:t>
            </w:r>
          </w:p>
        </w:tc>
        <w:tc>
          <w:tcPr>
            <w:tcW w:w="1497" w:type="dxa"/>
            <w:vAlign w:val="center"/>
          </w:tcPr>
          <w:p w:rsidR="00AE6339" w:rsidRPr="008B1643" w:rsidRDefault="00AE6339" w:rsidP="00F717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32</w:t>
            </w:r>
          </w:p>
        </w:tc>
      </w:tr>
      <w:tr w:rsidR="00AE6339" w:rsidRPr="008B1643" w:rsidTr="00A5358D">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08.12.17.</w:t>
            </w:r>
          </w:p>
        </w:tc>
        <w:tc>
          <w:tcPr>
            <w:tcW w:w="3613" w:type="dxa"/>
            <w:noWrap/>
            <w:vAlign w:val="center"/>
            <w:hideMark/>
          </w:tcPr>
          <w:p w:rsidR="00AE6339" w:rsidRPr="008B1643" w:rsidRDefault="00AE6339" w:rsidP="00F7171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69</w:t>
            </w:r>
          </w:p>
        </w:tc>
        <w:tc>
          <w:tcPr>
            <w:tcW w:w="1497" w:type="dxa"/>
            <w:vAlign w:val="center"/>
          </w:tcPr>
          <w:p w:rsidR="00AE6339" w:rsidRPr="008B1643" w:rsidRDefault="00AE6339" w:rsidP="00F7171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41</w:t>
            </w:r>
          </w:p>
        </w:tc>
      </w:tr>
      <w:tr w:rsidR="00AE6339" w:rsidRPr="008B1643" w:rsidTr="00A5358D">
        <w:trPr>
          <w:trHeight w:val="11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21.12.17.</w:t>
            </w:r>
          </w:p>
        </w:tc>
        <w:tc>
          <w:tcPr>
            <w:tcW w:w="3613" w:type="dxa"/>
            <w:noWrap/>
            <w:vAlign w:val="center"/>
            <w:hideMark/>
          </w:tcPr>
          <w:p w:rsidR="00AE6339" w:rsidRPr="008B1643" w:rsidRDefault="00AE6339" w:rsidP="00F717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65</w:t>
            </w:r>
          </w:p>
        </w:tc>
        <w:tc>
          <w:tcPr>
            <w:tcW w:w="1497" w:type="dxa"/>
            <w:vAlign w:val="center"/>
          </w:tcPr>
          <w:p w:rsidR="00AE6339" w:rsidRPr="008B1643" w:rsidRDefault="00AE6339" w:rsidP="00F717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47</w:t>
            </w:r>
          </w:p>
        </w:tc>
      </w:tr>
      <w:tr w:rsidR="00AE6339" w:rsidRPr="008B1643" w:rsidTr="00A5358D">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19.01.18.</w:t>
            </w:r>
          </w:p>
        </w:tc>
        <w:tc>
          <w:tcPr>
            <w:tcW w:w="3613" w:type="dxa"/>
            <w:noWrap/>
            <w:vAlign w:val="center"/>
            <w:hideMark/>
          </w:tcPr>
          <w:p w:rsidR="00AE6339" w:rsidRPr="008B1643" w:rsidRDefault="00AE6339" w:rsidP="00F7171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63</w:t>
            </w:r>
          </w:p>
        </w:tc>
        <w:tc>
          <w:tcPr>
            <w:tcW w:w="1497" w:type="dxa"/>
            <w:vAlign w:val="center"/>
          </w:tcPr>
          <w:p w:rsidR="00AE6339" w:rsidRPr="008B1643" w:rsidRDefault="00AE6339" w:rsidP="00F7171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34</w:t>
            </w:r>
          </w:p>
        </w:tc>
      </w:tr>
      <w:tr w:rsidR="00AE6339" w:rsidRPr="008B1643" w:rsidTr="00A5358D">
        <w:trPr>
          <w:trHeight w:val="11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05.02.18.</w:t>
            </w:r>
          </w:p>
        </w:tc>
        <w:tc>
          <w:tcPr>
            <w:tcW w:w="3613" w:type="dxa"/>
            <w:noWrap/>
            <w:vAlign w:val="center"/>
            <w:hideMark/>
          </w:tcPr>
          <w:p w:rsidR="00AE6339" w:rsidRPr="008B1643" w:rsidRDefault="00AE6339" w:rsidP="00F717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51</w:t>
            </w:r>
          </w:p>
        </w:tc>
        <w:tc>
          <w:tcPr>
            <w:tcW w:w="1497" w:type="dxa"/>
            <w:vAlign w:val="center"/>
          </w:tcPr>
          <w:p w:rsidR="00AE6339" w:rsidRPr="008B1643" w:rsidRDefault="00AE6339" w:rsidP="00F717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43</w:t>
            </w:r>
          </w:p>
        </w:tc>
      </w:tr>
      <w:tr w:rsidR="00AE6339" w:rsidRPr="008B1643" w:rsidTr="00A5358D">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21.02.18.</w:t>
            </w:r>
          </w:p>
        </w:tc>
        <w:tc>
          <w:tcPr>
            <w:tcW w:w="3613" w:type="dxa"/>
            <w:noWrap/>
            <w:vAlign w:val="center"/>
            <w:hideMark/>
          </w:tcPr>
          <w:p w:rsidR="00AE6339" w:rsidRPr="008B1643" w:rsidRDefault="00AE6339" w:rsidP="00F7171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50</w:t>
            </w:r>
          </w:p>
        </w:tc>
        <w:tc>
          <w:tcPr>
            <w:tcW w:w="1497" w:type="dxa"/>
            <w:vAlign w:val="center"/>
          </w:tcPr>
          <w:p w:rsidR="00AE6339" w:rsidRPr="008B1643" w:rsidRDefault="00AE6339" w:rsidP="00F7171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B1643">
              <w:rPr>
                <w:rFonts w:ascii="Arial" w:eastAsia="Times New Roman" w:hAnsi="Arial" w:cs="Arial"/>
                <w:color w:val="000000"/>
                <w:sz w:val="18"/>
                <w:lang w:val="hr-HR" w:eastAsia="hr-HR"/>
              </w:rPr>
              <w:t>32</w:t>
            </w:r>
          </w:p>
        </w:tc>
      </w:tr>
      <w:tr w:rsidR="00AE6339" w:rsidRPr="008B1643" w:rsidTr="00A5358D">
        <w:trPr>
          <w:trHeight w:val="113"/>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rsidR="00AE6339" w:rsidRPr="00F71719" w:rsidRDefault="00AE6339" w:rsidP="00F71719">
            <w:pPr>
              <w:jc w:val="center"/>
              <w:rPr>
                <w:rFonts w:ascii="Arial" w:eastAsia="Times New Roman" w:hAnsi="Arial" w:cs="Arial"/>
                <w:color w:val="000000"/>
                <w:sz w:val="18"/>
                <w:lang w:val="hr-HR" w:eastAsia="hr-HR"/>
              </w:rPr>
            </w:pPr>
            <w:r w:rsidRPr="00F71719">
              <w:rPr>
                <w:rFonts w:ascii="Arial" w:eastAsia="Times New Roman" w:hAnsi="Arial" w:cs="Arial"/>
                <w:color w:val="000000"/>
                <w:sz w:val="18"/>
                <w:lang w:val="hr-HR" w:eastAsia="hr-HR"/>
              </w:rPr>
              <w:t>Ukupna srednja vrijednost</w:t>
            </w:r>
          </w:p>
        </w:tc>
        <w:tc>
          <w:tcPr>
            <w:tcW w:w="3613" w:type="dxa"/>
            <w:noWrap/>
            <w:vAlign w:val="center"/>
            <w:hideMark/>
          </w:tcPr>
          <w:p w:rsidR="00AE6339" w:rsidRPr="008B1643" w:rsidRDefault="00AE6339" w:rsidP="00F717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lang w:val="hr-HR" w:eastAsia="hr-HR"/>
              </w:rPr>
            </w:pPr>
            <w:r w:rsidRPr="008B1643">
              <w:rPr>
                <w:rFonts w:ascii="Arial" w:eastAsia="Times New Roman" w:hAnsi="Arial" w:cs="Arial"/>
                <w:b/>
                <w:bCs/>
                <w:color w:val="000000"/>
                <w:sz w:val="18"/>
                <w:lang w:val="hr-HR" w:eastAsia="hr-HR"/>
              </w:rPr>
              <w:t>75</w:t>
            </w:r>
          </w:p>
        </w:tc>
        <w:tc>
          <w:tcPr>
            <w:tcW w:w="1497" w:type="dxa"/>
            <w:vAlign w:val="center"/>
          </w:tcPr>
          <w:p w:rsidR="00AE6339" w:rsidRPr="008B1643" w:rsidRDefault="00AE6339" w:rsidP="00F717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lang w:val="hr-HR" w:eastAsia="hr-HR"/>
              </w:rPr>
            </w:pPr>
            <w:r w:rsidRPr="008B1643">
              <w:rPr>
                <w:rFonts w:ascii="Arial" w:eastAsia="Times New Roman" w:hAnsi="Arial" w:cs="Arial"/>
                <w:b/>
                <w:bCs/>
                <w:color w:val="000000"/>
                <w:sz w:val="18"/>
                <w:lang w:val="hr-HR" w:eastAsia="hr-HR"/>
              </w:rPr>
              <w:t>40</w:t>
            </w:r>
          </w:p>
        </w:tc>
      </w:tr>
    </w:tbl>
    <w:p w:rsidR="00AE6339" w:rsidRPr="00F63CE3" w:rsidRDefault="00AE6339" w:rsidP="00F71719">
      <w:pPr>
        <w:spacing w:before="240" w:line="240" w:lineRule="auto"/>
        <w:jc w:val="both"/>
        <w:rPr>
          <w:rFonts w:ascii="Arial" w:hAnsi="Arial" w:cs="Arial"/>
        </w:rPr>
      </w:pPr>
      <w:r w:rsidRPr="00F63CE3">
        <w:rPr>
          <w:rFonts w:ascii="Arial" w:hAnsi="Arial" w:cs="Arial"/>
        </w:rPr>
        <w:t>Tijekom mjerenja na postaji Institut, utvrđena je gustoća populacija dagnji sa srednjom vrijednošću od 36 jedinki po jediničnoj površini (≈400 cm</w:t>
      </w:r>
      <w:r w:rsidRPr="00F63CE3">
        <w:rPr>
          <w:rFonts w:ascii="Arial" w:hAnsi="Arial" w:cs="Arial"/>
          <w:vertAlign w:val="superscript"/>
        </w:rPr>
        <w:t>2</w:t>
      </w:r>
      <w:r w:rsidRPr="00F63CE3">
        <w:rPr>
          <w:rFonts w:ascii="Arial" w:hAnsi="Arial" w:cs="Arial"/>
        </w:rPr>
        <w:t>). Tijekom promatranog razdoblja nisu uočene značajnije promjene u gustoći populacija iako se vidi blagi pad brojnosti (Tablica 2).</w:t>
      </w:r>
    </w:p>
    <w:p w:rsidR="00A45B44" w:rsidRDefault="00AE6339" w:rsidP="00A45B44">
      <w:pPr>
        <w:tabs>
          <w:tab w:val="left" w:pos="2265"/>
        </w:tabs>
        <w:spacing w:after="0" w:line="240" w:lineRule="auto"/>
        <w:jc w:val="both"/>
        <w:rPr>
          <w:rFonts w:ascii="Arial" w:hAnsi="Arial" w:cs="Arial"/>
        </w:rPr>
      </w:pPr>
      <w:r w:rsidRPr="00F63CE3">
        <w:rPr>
          <w:rFonts w:ascii="Arial" w:hAnsi="Arial" w:cs="Arial"/>
        </w:rPr>
        <w:t>Tablica 2. Gustoća populacije dagnji u odnosu na jediničnu površinu (400 cm</w:t>
      </w:r>
      <w:r w:rsidRPr="00F63CE3">
        <w:rPr>
          <w:rFonts w:ascii="Arial" w:hAnsi="Arial" w:cs="Arial"/>
          <w:vertAlign w:val="superscript"/>
        </w:rPr>
        <w:t>2</w:t>
      </w:r>
      <w:r w:rsidRPr="00F63CE3">
        <w:rPr>
          <w:rFonts w:ascii="Arial" w:hAnsi="Arial" w:cs="Arial"/>
        </w:rPr>
        <w:t>) na postaji Institut</w:t>
      </w:r>
      <w:r w:rsidR="00837688" w:rsidRPr="00F63CE3">
        <w:rPr>
          <w:rFonts w:ascii="Arial" w:hAnsi="Arial" w:cs="Arial"/>
        </w:rPr>
        <w:t>.</w:t>
      </w:r>
      <w:r w:rsidR="000D1FBE" w:rsidRPr="00F63CE3">
        <w:rPr>
          <w:rFonts w:ascii="Arial" w:hAnsi="Arial" w:cs="Arial"/>
        </w:rPr>
        <w:t xml:space="preserve">                                                                                                                                 </w:t>
      </w:r>
    </w:p>
    <w:p w:rsidR="00837688" w:rsidRPr="00A45B44" w:rsidRDefault="00837688" w:rsidP="00A5358D">
      <w:pPr>
        <w:tabs>
          <w:tab w:val="left" w:pos="2265"/>
        </w:tabs>
        <w:spacing w:after="0" w:line="240" w:lineRule="auto"/>
        <w:jc w:val="both"/>
        <w:rPr>
          <w:rFonts w:ascii="Arial" w:hAnsi="Arial" w:cs="Arial"/>
          <w:color w:val="808080" w:themeColor="background1" w:themeShade="80"/>
        </w:rPr>
      </w:pPr>
      <w:r w:rsidRPr="00A45B44">
        <w:rPr>
          <w:rFonts w:ascii="Arial" w:hAnsi="Arial" w:cs="Arial"/>
          <w:color w:val="808080" w:themeColor="background1" w:themeShade="80"/>
        </w:rPr>
        <w:t xml:space="preserve">Table 2. </w:t>
      </w:r>
      <w:r w:rsidRPr="00A45B44">
        <w:rPr>
          <w:rFonts w:ascii="Arial" w:hAnsi="Arial" w:cs="Arial"/>
          <w:color w:val="808080" w:themeColor="background1" w:themeShade="80"/>
          <w:lang w:val="en-US"/>
        </w:rPr>
        <w:t>Density of mussel population in relation to the unit surface of 400 cm</w:t>
      </w:r>
      <w:r w:rsidRPr="00A45B44">
        <w:rPr>
          <w:rFonts w:ascii="Arial" w:hAnsi="Arial" w:cs="Arial"/>
          <w:color w:val="808080" w:themeColor="background1" w:themeShade="80"/>
          <w:vertAlign w:val="superscript"/>
          <w:lang w:val="en-US"/>
        </w:rPr>
        <w:t xml:space="preserve">2 </w:t>
      </w:r>
      <w:r w:rsidRPr="00A45B44">
        <w:rPr>
          <w:rFonts w:ascii="Arial" w:hAnsi="Arial" w:cs="Arial"/>
          <w:color w:val="808080" w:themeColor="background1" w:themeShade="80"/>
          <w:lang w:val="en-US"/>
        </w:rPr>
        <w:t>at the Institut</w:t>
      </w:r>
      <w:r w:rsidR="009C29E7" w:rsidRPr="00A45B44">
        <w:rPr>
          <w:rFonts w:ascii="Arial" w:hAnsi="Arial" w:cs="Arial"/>
          <w:color w:val="808080" w:themeColor="background1" w:themeShade="80"/>
          <w:lang w:val="en-US"/>
        </w:rPr>
        <w:t>e</w:t>
      </w:r>
      <w:r w:rsidRPr="00A45B44">
        <w:rPr>
          <w:rFonts w:ascii="Arial" w:hAnsi="Arial" w:cs="Arial"/>
          <w:color w:val="808080" w:themeColor="background1" w:themeShade="80"/>
          <w:lang w:val="en-US"/>
        </w:rPr>
        <w:t xml:space="preserve"> station.</w:t>
      </w:r>
    </w:p>
    <w:tbl>
      <w:tblPr>
        <w:tblStyle w:val="ListTable1LightAccent1"/>
        <w:tblW w:w="5019"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77"/>
        <w:gridCol w:w="2800"/>
        <w:gridCol w:w="1246"/>
      </w:tblGrid>
      <w:tr w:rsidR="00AE6339" w:rsidRPr="008B1643" w:rsidTr="008B1643">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73" w:type="dxa"/>
            <w:tcBorders>
              <w:bottom w:val="none" w:sz="0" w:space="0" w:color="auto"/>
            </w:tcBorders>
            <w:noWrap/>
            <w:vAlign w:val="center"/>
            <w:hideMark/>
          </w:tcPr>
          <w:p w:rsidR="00AE6339" w:rsidRPr="008B1643" w:rsidRDefault="00AE6339" w:rsidP="008B1643">
            <w:pPr>
              <w:jc w:val="center"/>
              <w:rPr>
                <w:rFonts w:ascii="Arial" w:eastAsia="Times New Roman" w:hAnsi="Arial" w:cs="Arial"/>
                <w:color w:val="000000"/>
                <w:sz w:val="18"/>
                <w:lang w:val="en-GB" w:eastAsia="en-GB"/>
              </w:rPr>
            </w:pPr>
            <w:r w:rsidRPr="008B1643">
              <w:rPr>
                <w:rFonts w:ascii="Arial" w:eastAsia="Times New Roman" w:hAnsi="Arial" w:cs="Arial"/>
                <w:color w:val="000000"/>
                <w:sz w:val="18"/>
                <w:lang w:val="en-GB" w:eastAsia="en-GB"/>
              </w:rPr>
              <w:t>Datum</w:t>
            </w:r>
          </w:p>
        </w:tc>
        <w:tc>
          <w:tcPr>
            <w:tcW w:w="2800" w:type="dxa"/>
            <w:tcBorders>
              <w:bottom w:val="none" w:sz="0" w:space="0" w:color="auto"/>
            </w:tcBorders>
            <w:noWrap/>
            <w:vAlign w:val="center"/>
            <w:hideMark/>
          </w:tcPr>
          <w:p w:rsidR="00AE6339" w:rsidRPr="008B1643" w:rsidRDefault="00AE6339" w:rsidP="008B164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en-GB" w:eastAsia="en-GB"/>
              </w:rPr>
              <w:t>Srednja vrijednost</w:t>
            </w:r>
          </w:p>
          <w:p w:rsidR="00AE6339" w:rsidRPr="008B1643" w:rsidRDefault="00AE6339" w:rsidP="008B164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en-GB" w:eastAsia="en-GB"/>
              </w:rPr>
              <w:t>brojnosti</w:t>
            </w:r>
          </w:p>
        </w:tc>
        <w:tc>
          <w:tcPr>
            <w:tcW w:w="1246" w:type="dxa"/>
            <w:tcBorders>
              <w:bottom w:val="none" w:sz="0" w:space="0" w:color="auto"/>
            </w:tcBorders>
            <w:noWrap/>
            <w:vAlign w:val="center"/>
            <w:hideMark/>
          </w:tcPr>
          <w:p w:rsidR="00AE6339" w:rsidRPr="008B1643" w:rsidRDefault="00AE6339" w:rsidP="008B164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en-GB" w:eastAsia="en-GB"/>
              </w:rPr>
              <w:t>Standardna devijacija</w:t>
            </w:r>
          </w:p>
        </w:tc>
      </w:tr>
      <w:tr w:rsidR="00AE6339" w:rsidRPr="008B1643" w:rsidTr="008B164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rsidR="00AE6339" w:rsidRPr="008B1643" w:rsidRDefault="00AE6339" w:rsidP="008B1643">
            <w:pPr>
              <w:jc w:val="center"/>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Listopad</w:t>
            </w:r>
          </w:p>
        </w:tc>
        <w:tc>
          <w:tcPr>
            <w:tcW w:w="2800" w:type="dxa"/>
            <w:noWrap/>
            <w:vAlign w:val="center"/>
            <w:hideMark/>
          </w:tcPr>
          <w:p w:rsidR="00AE6339" w:rsidRPr="008B1643" w:rsidRDefault="00AE6339" w:rsidP="008B16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37</w:t>
            </w:r>
          </w:p>
        </w:tc>
        <w:tc>
          <w:tcPr>
            <w:tcW w:w="1246" w:type="dxa"/>
            <w:noWrap/>
            <w:vAlign w:val="center"/>
            <w:hideMark/>
          </w:tcPr>
          <w:p w:rsidR="00AE6339" w:rsidRPr="008B1643" w:rsidRDefault="00AE6339" w:rsidP="008B16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9</w:t>
            </w:r>
          </w:p>
        </w:tc>
      </w:tr>
      <w:tr w:rsidR="00AE6339" w:rsidRPr="008B1643" w:rsidTr="008B1643">
        <w:trPr>
          <w:trHeight w:val="227"/>
          <w:jc w:val="center"/>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rsidR="00AE6339" w:rsidRPr="008B1643" w:rsidRDefault="00AE6339" w:rsidP="008B1643">
            <w:pPr>
              <w:jc w:val="center"/>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Studeni</w:t>
            </w:r>
          </w:p>
        </w:tc>
        <w:tc>
          <w:tcPr>
            <w:tcW w:w="2800" w:type="dxa"/>
            <w:noWrap/>
            <w:vAlign w:val="center"/>
            <w:hideMark/>
          </w:tcPr>
          <w:p w:rsidR="00AE6339" w:rsidRPr="008B1643" w:rsidRDefault="00AE6339" w:rsidP="008B164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36</w:t>
            </w:r>
          </w:p>
        </w:tc>
        <w:tc>
          <w:tcPr>
            <w:tcW w:w="1246" w:type="dxa"/>
            <w:noWrap/>
            <w:vAlign w:val="center"/>
            <w:hideMark/>
          </w:tcPr>
          <w:p w:rsidR="00AE6339" w:rsidRPr="008B1643" w:rsidRDefault="00AE6339" w:rsidP="008B164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5</w:t>
            </w:r>
          </w:p>
        </w:tc>
      </w:tr>
      <w:tr w:rsidR="00AE6339" w:rsidRPr="008B1643" w:rsidTr="008B164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rsidR="00AE6339" w:rsidRPr="008B1643" w:rsidRDefault="00AE6339" w:rsidP="008B1643">
            <w:pPr>
              <w:jc w:val="center"/>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Prosinac</w:t>
            </w:r>
          </w:p>
        </w:tc>
        <w:tc>
          <w:tcPr>
            <w:tcW w:w="2800" w:type="dxa"/>
            <w:noWrap/>
            <w:vAlign w:val="center"/>
            <w:hideMark/>
          </w:tcPr>
          <w:p w:rsidR="00AE6339" w:rsidRPr="008B1643" w:rsidRDefault="00AE6339" w:rsidP="008B16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35</w:t>
            </w:r>
          </w:p>
        </w:tc>
        <w:tc>
          <w:tcPr>
            <w:tcW w:w="1246" w:type="dxa"/>
            <w:noWrap/>
            <w:vAlign w:val="center"/>
            <w:hideMark/>
          </w:tcPr>
          <w:p w:rsidR="00AE6339" w:rsidRPr="008B1643" w:rsidRDefault="00AE6339" w:rsidP="008B16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4</w:t>
            </w:r>
          </w:p>
        </w:tc>
      </w:tr>
      <w:tr w:rsidR="00AE6339" w:rsidRPr="008B1643" w:rsidTr="008B1643">
        <w:trPr>
          <w:trHeight w:val="227"/>
          <w:jc w:val="center"/>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rsidR="00AE6339" w:rsidRPr="008B1643" w:rsidRDefault="00AE6339" w:rsidP="008B1643">
            <w:pPr>
              <w:jc w:val="center"/>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Siječanj</w:t>
            </w:r>
          </w:p>
        </w:tc>
        <w:tc>
          <w:tcPr>
            <w:tcW w:w="2800" w:type="dxa"/>
            <w:noWrap/>
            <w:vAlign w:val="center"/>
            <w:hideMark/>
          </w:tcPr>
          <w:p w:rsidR="00AE6339" w:rsidRPr="008B1643" w:rsidRDefault="00AE6339" w:rsidP="008B164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34</w:t>
            </w:r>
          </w:p>
        </w:tc>
        <w:tc>
          <w:tcPr>
            <w:tcW w:w="1246" w:type="dxa"/>
            <w:noWrap/>
            <w:vAlign w:val="center"/>
            <w:hideMark/>
          </w:tcPr>
          <w:p w:rsidR="00AE6339" w:rsidRPr="008B1643" w:rsidRDefault="00AE6339" w:rsidP="008B164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4</w:t>
            </w:r>
          </w:p>
        </w:tc>
      </w:tr>
      <w:tr w:rsidR="00AE6339" w:rsidRPr="008B1643" w:rsidTr="008B164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rsidR="00AE6339" w:rsidRPr="008B1643" w:rsidRDefault="00AE6339" w:rsidP="008B1643">
            <w:pPr>
              <w:jc w:val="center"/>
              <w:rPr>
                <w:rFonts w:ascii="Arial" w:eastAsia="Times New Roman" w:hAnsi="Arial" w:cs="Arial"/>
                <w:color w:val="000000"/>
                <w:sz w:val="18"/>
                <w:lang w:val="en-GB" w:eastAsia="en-GB"/>
              </w:rPr>
            </w:pPr>
            <w:r w:rsidRPr="008B1643">
              <w:rPr>
                <w:rFonts w:ascii="Arial" w:eastAsia="Times New Roman" w:hAnsi="Arial" w:cs="Arial"/>
                <w:color w:val="000000"/>
                <w:sz w:val="18"/>
                <w:lang w:val="hr-HR" w:eastAsia="en-GB"/>
              </w:rPr>
              <w:t>Total</w:t>
            </w:r>
          </w:p>
        </w:tc>
        <w:tc>
          <w:tcPr>
            <w:tcW w:w="2800" w:type="dxa"/>
            <w:noWrap/>
            <w:vAlign w:val="center"/>
            <w:hideMark/>
          </w:tcPr>
          <w:p w:rsidR="00AE6339" w:rsidRPr="008B1643" w:rsidRDefault="00AE6339" w:rsidP="008B16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lang w:val="en-GB" w:eastAsia="en-GB"/>
              </w:rPr>
            </w:pPr>
            <w:r w:rsidRPr="008B1643">
              <w:rPr>
                <w:rFonts w:ascii="Arial" w:eastAsia="Times New Roman" w:hAnsi="Arial" w:cs="Arial"/>
                <w:b/>
                <w:color w:val="000000"/>
                <w:sz w:val="18"/>
                <w:lang w:val="hr-HR" w:eastAsia="en-GB"/>
              </w:rPr>
              <w:t>36</w:t>
            </w:r>
          </w:p>
        </w:tc>
        <w:tc>
          <w:tcPr>
            <w:tcW w:w="1246" w:type="dxa"/>
            <w:noWrap/>
            <w:vAlign w:val="center"/>
            <w:hideMark/>
          </w:tcPr>
          <w:p w:rsidR="00AE6339" w:rsidRPr="008B1643" w:rsidRDefault="00AE6339" w:rsidP="008B16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lang w:val="en-GB" w:eastAsia="en-GB"/>
              </w:rPr>
            </w:pPr>
            <w:r w:rsidRPr="008B1643">
              <w:rPr>
                <w:rFonts w:ascii="Arial" w:eastAsia="Times New Roman" w:hAnsi="Arial" w:cs="Arial"/>
                <w:b/>
                <w:color w:val="000000"/>
                <w:sz w:val="18"/>
                <w:lang w:val="hr-HR" w:eastAsia="en-GB"/>
              </w:rPr>
              <w:t>5</w:t>
            </w:r>
          </w:p>
        </w:tc>
      </w:tr>
    </w:tbl>
    <w:p w:rsidR="00AE6339" w:rsidRPr="00F63CE3" w:rsidRDefault="00AE6339" w:rsidP="009B483F">
      <w:pPr>
        <w:spacing w:before="240" w:line="240" w:lineRule="auto"/>
        <w:jc w:val="both"/>
        <w:rPr>
          <w:rFonts w:ascii="Arial" w:hAnsi="Arial" w:cs="Arial"/>
        </w:rPr>
      </w:pPr>
      <w:r w:rsidRPr="00F63CE3">
        <w:rPr>
          <w:rFonts w:ascii="Arial" w:hAnsi="Arial" w:cs="Arial"/>
        </w:rPr>
        <w:t xml:space="preserve">Dužinska struktura školjkaša na postaji Porat u Kaštel Novom određivana je na ukupnom uzorku od 240 jedinki koje su uzorkovane u razmacima od 15 dana. Srednja vrijednost dužine ljušture dagnje na tom lokalitetu iznosila je 33 ± 6,54 mm, dok je srednja vrijednost širine ljušture iznosila 20,24 ± 3,58 mm (Tablica 3). Dužinska struktura populacije dagnji na tom lokalitetu kretala se u rasponu od 17 do 55 mm prema dužini ljušture, odnosno u rasponu od 10 do 32 mm prema širini ljušture. Većina populacije nalazila se u rasponu od 25 do 39 mm prema dužini ljušture odnosno u rasponu od 16 do 24 mm prema širini ljušture.  </w:t>
      </w:r>
      <w:r w:rsidRPr="00F63CE3">
        <w:rPr>
          <w:rFonts w:ascii="Arial" w:hAnsi="Arial" w:cs="Arial"/>
        </w:rPr>
        <w:lastRenderedPageBreak/>
        <w:t>Gotovo 70 % zabilježenih jedinki nalazilo se ispod dužine s</w:t>
      </w:r>
      <w:r w:rsidR="00521F93" w:rsidRPr="00F63CE3">
        <w:rPr>
          <w:rFonts w:ascii="Arial" w:hAnsi="Arial" w:cs="Arial"/>
        </w:rPr>
        <w:t>polne zrelosti od 35 mm (Slika 2</w:t>
      </w:r>
      <w:r w:rsidRPr="00F63CE3">
        <w:rPr>
          <w:rFonts w:ascii="Arial" w:hAnsi="Arial" w:cs="Arial"/>
        </w:rPr>
        <w:t>. A i B).</w:t>
      </w:r>
    </w:p>
    <w:p w:rsidR="00AE6339" w:rsidRPr="00F63CE3" w:rsidRDefault="00AE6339" w:rsidP="00AE6339">
      <w:pPr>
        <w:spacing w:line="240" w:lineRule="auto"/>
        <w:jc w:val="center"/>
        <w:rPr>
          <w:rFonts w:ascii="Arial" w:hAnsi="Arial" w:cs="Arial"/>
          <w:noProof/>
          <w:lang w:val="en-GB" w:eastAsia="en-GB"/>
        </w:rPr>
      </w:pPr>
      <w:r w:rsidRPr="00F63CE3">
        <w:rPr>
          <w:rFonts w:ascii="Arial" w:hAnsi="Arial" w:cs="Arial"/>
          <w:noProof/>
          <w:lang w:val="en-GB" w:eastAsia="en-GB"/>
        </w:rPr>
        <w:t xml:space="preserve"> </w:t>
      </w:r>
      <w:r w:rsidRPr="00F63CE3">
        <w:rPr>
          <w:rFonts w:ascii="Arial" w:hAnsi="Arial" w:cs="Arial"/>
          <w:noProof/>
          <w:lang w:eastAsia="hr-BA"/>
        </w:rPr>
        <w:drawing>
          <wp:inline distT="0" distB="0" distL="0" distR="0" wp14:anchorId="5B3FB216" wp14:editId="359FCAF6">
            <wp:extent cx="4155979" cy="2047875"/>
            <wp:effectExtent l="0" t="0" r="0" b="0"/>
            <wp:docPr id="2"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jpg"/>
                    <pic:cNvPicPr/>
                  </pic:nvPicPr>
                  <pic:blipFill>
                    <a:blip r:embed="rId9">
                      <a:extLst>
                        <a:ext uri="{28A0092B-C50C-407E-A947-70E740481C1C}">
                          <a14:useLocalDpi xmlns:a14="http://schemas.microsoft.com/office/drawing/2010/main" val="0"/>
                        </a:ext>
                      </a:extLst>
                    </a:blip>
                    <a:stretch>
                      <a:fillRect/>
                    </a:stretch>
                  </pic:blipFill>
                  <pic:spPr>
                    <a:xfrm>
                      <a:off x="0" y="0"/>
                      <a:ext cx="4172335" cy="2055935"/>
                    </a:xfrm>
                    <a:prstGeom prst="rect">
                      <a:avLst/>
                    </a:prstGeom>
                  </pic:spPr>
                </pic:pic>
              </a:graphicData>
            </a:graphic>
          </wp:inline>
        </w:drawing>
      </w:r>
      <w:r w:rsidRPr="00F63CE3">
        <w:rPr>
          <w:rFonts w:ascii="Arial" w:hAnsi="Arial" w:cs="Arial"/>
          <w:noProof/>
          <w:lang w:val="en-GB" w:eastAsia="en-GB"/>
        </w:rPr>
        <w:t xml:space="preserve">    </w:t>
      </w:r>
    </w:p>
    <w:p w:rsidR="00AE6339" w:rsidRPr="00F63CE3" w:rsidRDefault="00AE6339" w:rsidP="00AE6339">
      <w:pPr>
        <w:spacing w:line="240" w:lineRule="auto"/>
        <w:jc w:val="center"/>
        <w:rPr>
          <w:rFonts w:ascii="Arial" w:hAnsi="Arial" w:cs="Arial"/>
          <w:b/>
        </w:rPr>
      </w:pPr>
      <w:r w:rsidRPr="00F63CE3">
        <w:rPr>
          <w:rFonts w:ascii="Arial" w:hAnsi="Arial" w:cs="Arial"/>
        </w:rPr>
        <w:t xml:space="preserve">  </w:t>
      </w:r>
      <w:r w:rsidRPr="00F63CE3">
        <w:rPr>
          <w:rFonts w:ascii="Arial" w:hAnsi="Arial" w:cs="Arial"/>
          <w:noProof/>
          <w:lang w:eastAsia="hr-BA"/>
        </w:rPr>
        <w:drawing>
          <wp:inline distT="0" distB="0" distL="0" distR="0" wp14:anchorId="25C91939" wp14:editId="2ED95595">
            <wp:extent cx="4115508" cy="1800225"/>
            <wp:effectExtent l="0" t="0" r="0" b="0"/>
            <wp:docPr id="3"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jpg"/>
                    <pic:cNvPicPr/>
                  </pic:nvPicPr>
                  <pic:blipFill>
                    <a:blip r:embed="rId10">
                      <a:extLst>
                        <a:ext uri="{28A0092B-C50C-407E-A947-70E740481C1C}">
                          <a14:useLocalDpi xmlns:a14="http://schemas.microsoft.com/office/drawing/2010/main" val="0"/>
                        </a:ext>
                      </a:extLst>
                    </a:blip>
                    <a:stretch>
                      <a:fillRect/>
                    </a:stretch>
                  </pic:blipFill>
                  <pic:spPr>
                    <a:xfrm>
                      <a:off x="0" y="0"/>
                      <a:ext cx="4122884" cy="1803452"/>
                    </a:xfrm>
                    <a:prstGeom prst="rect">
                      <a:avLst/>
                    </a:prstGeom>
                  </pic:spPr>
                </pic:pic>
              </a:graphicData>
            </a:graphic>
          </wp:inline>
        </w:drawing>
      </w:r>
    </w:p>
    <w:p w:rsidR="00871CD0" w:rsidRPr="00F63CE3" w:rsidRDefault="00A719EC" w:rsidP="00AE6339">
      <w:pPr>
        <w:spacing w:line="240" w:lineRule="auto"/>
        <w:rPr>
          <w:rFonts w:ascii="Arial" w:hAnsi="Arial" w:cs="Arial"/>
        </w:rPr>
      </w:pPr>
      <w:r w:rsidRPr="00F63CE3">
        <w:rPr>
          <w:rFonts w:ascii="Arial" w:hAnsi="Arial" w:cs="Arial"/>
        </w:rPr>
        <w:t>Slika 2</w:t>
      </w:r>
      <w:r w:rsidR="00AE6339" w:rsidRPr="00F63CE3">
        <w:rPr>
          <w:rFonts w:ascii="Arial" w:hAnsi="Arial" w:cs="Arial"/>
        </w:rPr>
        <w:t>. Dužinska struktura populacije dagnji na postaji Porat - Kaštel Novi; A) prema dužini ljušture; B) prema širini ljušture.</w:t>
      </w:r>
      <w:r w:rsidR="00C4271C" w:rsidRPr="00F63CE3">
        <w:rPr>
          <w:rFonts w:ascii="Arial" w:hAnsi="Arial" w:cs="Arial"/>
        </w:rPr>
        <w:t xml:space="preserve">                                                                                        </w:t>
      </w:r>
      <w:r w:rsidR="00871CD0" w:rsidRPr="00B465C2">
        <w:rPr>
          <w:rFonts w:ascii="Arial" w:hAnsi="Arial" w:cs="Arial"/>
          <w:color w:val="808080" w:themeColor="background1" w:themeShade="80"/>
        </w:rPr>
        <w:t xml:space="preserve">Figure 2. </w:t>
      </w:r>
      <w:r w:rsidR="00871CD0" w:rsidRPr="00B465C2">
        <w:rPr>
          <w:rFonts w:ascii="Arial" w:hAnsi="Arial" w:cs="Arial"/>
          <w:color w:val="808080" w:themeColor="background1" w:themeShade="80"/>
          <w:lang w:val="en-US"/>
        </w:rPr>
        <w:t>Length structure of the mussel population at the Porat - Kaštel Novi station; A) according to the length of the shell; B) according to the width of the shell.</w:t>
      </w:r>
    </w:p>
    <w:p w:rsidR="00AE6339" w:rsidRPr="00F63CE3" w:rsidRDefault="00AE6339" w:rsidP="00AE6339">
      <w:pPr>
        <w:spacing w:line="240" w:lineRule="auto"/>
        <w:jc w:val="both"/>
        <w:rPr>
          <w:rFonts w:ascii="Arial" w:hAnsi="Arial" w:cs="Arial"/>
        </w:rPr>
      </w:pPr>
      <w:r w:rsidRPr="00F63CE3">
        <w:rPr>
          <w:rFonts w:ascii="Arial" w:hAnsi="Arial" w:cs="Arial"/>
        </w:rPr>
        <w:t>Dužinska struktura školjkaša na lokalitetu</w:t>
      </w:r>
      <w:r w:rsidR="005C5CCD" w:rsidRPr="00F63CE3">
        <w:rPr>
          <w:rFonts w:ascii="Arial" w:hAnsi="Arial" w:cs="Arial"/>
        </w:rPr>
        <w:t xml:space="preserve"> </w:t>
      </w:r>
      <w:r w:rsidRPr="00F63CE3">
        <w:rPr>
          <w:rFonts w:ascii="Arial" w:hAnsi="Arial" w:cs="Arial"/>
        </w:rPr>
        <w:t>Institut određivana je na ukupno 181 mjerenju.  Ipak, treba se napomenuti da se uglavnom radilo o istim jedinkama. Tijekom mjerenja nisu zabilježene male jedinke. Srednja vrijednost dužine ljušture dagnje na tom lokalitetu iznosila je 46,68 ± 2,53 mm (Tablica 4). Dužinska struktura populacije dagnji na tom lokalitetu kretala se u rasponu od 41 do 53 mm prema dužini ljušture. Većina populacije nalazila se u rasponu od 44 do 49 m</w:t>
      </w:r>
      <w:r w:rsidR="00521F93" w:rsidRPr="00F63CE3">
        <w:rPr>
          <w:rFonts w:ascii="Arial" w:hAnsi="Arial" w:cs="Arial"/>
        </w:rPr>
        <w:t>m prema dužini ljušture (Slika 3</w:t>
      </w:r>
      <w:r w:rsidRPr="00F63CE3">
        <w:rPr>
          <w:rFonts w:ascii="Arial" w:hAnsi="Arial" w:cs="Arial"/>
        </w:rPr>
        <w:t>).</w:t>
      </w:r>
    </w:p>
    <w:p w:rsidR="00AE6339" w:rsidRPr="00F63CE3" w:rsidRDefault="00AE6339" w:rsidP="00AE6339">
      <w:pPr>
        <w:spacing w:line="240" w:lineRule="auto"/>
        <w:jc w:val="center"/>
        <w:rPr>
          <w:rFonts w:ascii="Arial" w:hAnsi="Arial" w:cs="Arial"/>
        </w:rPr>
      </w:pPr>
      <w:r w:rsidRPr="00F63CE3">
        <w:rPr>
          <w:rFonts w:ascii="Arial" w:hAnsi="Arial" w:cs="Arial"/>
          <w:noProof/>
          <w:lang w:eastAsia="hr-BA"/>
        </w:rPr>
        <w:drawing>
          <wp:inline distT="0" distB="0" distL="0" distR="0" wp14:anchorId="5B5ED885" wp14:editId="60A55CC7">
            <wp:extent cx="4690110" cy="2295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6905" cy="2303745"/>
                    </a:xfrm>
                    <a:prstGeom prst="rect">
                      <a:avLst/>
                    </a:prstGeom>
                    <a:noFill/>
                  </pic:spPr>
                </pic:pic>
              </a:graphicData>
            </a:graphic>
          </wp:inline>
        </w:drawing>
      </w:r>
    </w:p>
    <w:p w:rsidR="009C29E7" w:rsidRPr="00B465C2" w:rsidRDefault="00521F93" w:rsidP="00B465C2">
      <w:pPr>
        <w:rPr>
          <w:rFonts w:ascii="Arial" w:hAnsi="Arial" w:cs="Arial"/>
        </w:rPr>
      </w:pPr>
      <w:r w:rsidRPr="00B465C2">
        <w:rPr>
          <w:rFonts w:ascii="Arial" w:hAnsi="Arial" w:cs="Arial"/>
        </w:rPr>
        <w:lastRenderedPageBreak/>
        <w:t>Slika 3</w:t>
      </w:r>
      <w:r w:rsidR="00AE6339" w:rsidRPr="00B465C2">
        <w:rPr>
          <w:rFonts w:ascii="Arial" w:hAnsi="Arial" w:cs="Arial"/>
        </w:rPr>
        <w:t>. Dužinska struktura populacije dagnji na postaji Institut</w:t>
      </w:r>
      <w:r w:rsidR="009C29E7" w:rsidRPr="00B465C2">
        <w:rPr>
          <w:rFonts w:ascii="Arial" w:hAnsi="Arial" w:cs="Arial"/>
        </w:rPr>
        <w:t>.</w:t>
      </w:r>
      <w:r w:rsidR="008E272D" w:rsidRPr="00B465C2">
        <w:rPr>
          <w:rFonts w:ascii="Arial" w:hAnsi="Arial" w:cs="Arial"/>
        </w:rPr>
        <w:t xml:space="preserve">                                         </w:t>
      </w:r>
      <w:r w:rsidR="009C29E7" w:rsidRPr="00B465C2">
        <w:rPr>
          <w:rFonts w:ascii="Arial" w:hAnsi="Arial" w:cs="Arial"/>
          <w:color w:val="808080" w:themeColor="background1" w:themeShade="80"/>
        </w:rPr>
        <w:t xml:space="preserve">Figure 3. </w:t>
      </w:r>
      <w:r w:rsidR="009C29E7" w:rsidRPr="00B465C2">
        <w:rPr>
          <w:rFonts w:ascii="Arial" w:hAnsi="Arial" w:cs="Arial"/>
          <w:color w:val="808080" w:themeColor="background1" w:themeShade="80"/>
          <w:lang w:val="en-US"/>
        </w:rPr>
        <w:t>Length structure of the mussel population at the Institute station.</w:t>
      </w:r>
    </w:p>
    <w:p w:rsidR="00AE6339" w:rsidRPr="00F63CE3" w:rsidRDefault="00AE6339" w:rsidP="00AE6339">
      <w:pPr>
        <w:spacing w:line="240" w:lineRule="auto"/>
        <w:jc w:val="both"/>
        <w:rPr>
          <w:rFonts w:ascii="Arial" w:hAnsi="Arial" w:cs="Arial"/>
        </w:rPr>
      </w:pPr>
      <w:r w:rsidRPr="00F63CE3">
        <w:rPr>
          <w:rFonts w:ascii="Arial" w:hAnsi="Arial" w:cs="Arial"/>
        </w:rPr>
        <w:t xml:space="preserve">Dužinska struktura školjkaša je pokazala razlike u srednjim veličinama kontinuirano za svako mjerenje tijekom razdoblja istraživanja. Na </w:t>
      </w:r>
      <w:r w:rsidR="003B7E98" w:rsidRPr="00F63CE3">
        <w:rPr>
          <w:rFonts w:ascii="Arial" w:hAnsi="Arial" w:cs="Arial"/>
        </w:rPr>
        <w:t>postaji</w:t>
      </w:r>
      <w:r w:rsidRPr="00F63CE3">
        <w:rPr>
          <w:rFonts w:ascii="Arial" w:hAnsi="Arial" w:cs="Arial"/>
        </w:rPr>
        <w:t xml:space="preserve"> Porat</w:t>
      </w:r>
      <w:r w:rsidR="003B7E98" w:rsidRPr="00F63CE3">
        <w:rPr>
          <w:rFonts w:ascii="Arial" w:hAnsi="Arial" w:cs="Arial"/>
        </w:rPr>
        <w:t>-</w:t>
      </w:r>
      <w:r w:rsidRPr="00F63CE3">
        <w:rPr>
          <w:rFonts w:ascii="Arial" w:hAnsi="Arial" w:cs="Arial"/>
        </w:rPr>
        <w:t>Kaštel Novi najveća brojnost manjih jedinki zabilježena je tijekom mjerenja u studenom i prosincu, a nakon toga se bilježi ko</w:t>
      </w:r>
      <w:r w:rsidR="00A66158" w:rsidRPr="00F63CE3">
        <w:rPr>
          <w:rFonts w:ascii="Arial" w:hAnsi="Arial" w:cs="Arial"/>
        </w:rPr>
        <w:t>ntinuirani rast jedinki (Slika 4</w:t>
      </w:r>
      <w:r w:rsidRPr="00F63CE3">
        <w:rPr>
          <w:rFonts w:ascii="Arial" w:hAnsi="Arial" w:cs="Arial"/>
        </w:rPr>
        <w:t xml:space="preserve"> A i B; Tablica 3).</w:t>
      </w:r>
    </w:p>
    <w:p w:rsidR="00AE6339" w:rsidRPr="00F63CE3" w:rsidRDefault="00AE6339" w:rsidP="00AE6339">
      <w:pPr>
        <w:spacing w:line="240" w:lineRule="auto"/>
        <w:jc w:val="center"/>
        <w:rPr>
          <w:rFonts w:ascii="Arial" w:hAnsi="Arial" w:cs="Arial"/>
        </w:rPr>
      </w:pPr>
      <w:r w:rsidRPr="00F63CE3">
        <w:rPr>
          <w:rFonts w:ascii="Arial" w:hAnsi="Arial" w:cs="Arial"/>
          <w:b/>
        </w:rPr>
        <w:t>A</w:t>
      </w:r>
      <w:r w:rsidRPr="00F63CE3">
        <w:rPr>
          <w:rFonts w:ascii="Arial" w:hAnsi="Arial" w:cs="Arial"/>
          <w:noProof/>
          <w:lang w:eastAsia="hr-BA"/>
        </w:rPr>
        <w:drawing>
          <wp:inline distT="0" distB="0" distL="0" distR="0" wp14:anchorId="1A626953" wp14:editId="4C6F58F6">
            <wp:extent cx="4143375" cy="249061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8876" cy="2499934"/>
                    </a:xfrm>
                    <a:prstGeom prst="rect">
                      <a:avLst/>
                    </a:prstGeom>
                    <a:noFill/>
                  </pic:spPr>
                </pic:pic>
              </a:graphicData>
            </a:graphic>
          </wp:inline>
        </w:drawing>
      </w:r>
    </w:p>
    <w:p w:rsidR="00AE6339" w:rsidRPr="00F63CE3" w:rsidRDefault="00AE6339" w:rsidP="00AE6339">
      <w:pPr>
        <w:spacing w:line="240" w:lineRule="auto"/>
        <w:jc w:val="center"/>
        <w:rPr>
          <w:rFonts w:ascii="Arial" w:hAnsi="Arial" w:cs="Arial"/>
        </w:rPr>
      </w:pPr>
      <w:r w:rsidRPr="00F63CE3">
        <w:rPr>
          <w:rFonts w:ascii="Arial" w:hAnsi="Arial" w:cs="Arial"/>
          <w:b/>
        </w:rPr>
        <w:t>B</w:t>
      </w:r>
      <w:r w:rsidRPr="00F63CE3">
        <w:rPr>
          <w:rFonts w:ascii="Arial" w:hAnsi="Arial" w:cs="Arial"/>
          <w:noProof/>
          <w:lang w:eastAsia="hr-BA"/>
        </w:rPr>
        <w:drawing>
          <wp:inline distT="0" distB="0" distL="0" distR="0" wp14:anchorId="3EE89C73" wp14:editId="7CC6BAF2">
            <wp:extent cx="4114800" cy="247344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0111" cy="2482643"/>
                    </a:xfrm>
                    <a:prstGeom prst="rect">
                      <a:avLst/>
                    </a:prstGeom>
                    <a:noFill/>
                  </pic:spPr>
                </pic:pic>
              </a:graphicData>
            </a:graphic>
          </wp:inline>
        </w:drawing>
      </w:r>
    </w:p>
    <w:p w:rsidR="00AE6339" w:rsidRPr="00F63CE3" w:rsidRDefault="00A66158" w:rsidP="008F7453">
      <w:pPr>
        <w:spacing w:line="240" w:lineRule="auto"/>
        <w:rPr>
          <w:rFonts w:ascii="Arial" w:hAnsi="Arial" w:cs="Arial"/>
        </w:rPr>
      </w:pPr>
      <w:r w:rsidRPr="00F63CE3">
        <w:rPr>
          <w:rFonts w:ascii="Arial" w:hAnsi="Arial" w:cs="Arial"/>
        </w:rPr>
        <w:t>Slika 4</w:t>
      </w:r>
      <w:r w:rsidR="00AE6339" w:rsidRPr="00F63CE3">
        <w:rPr>
          <w:rFonts w:ascii="Arial" w:hAnsi="Arial" w:cs="Arial"/>
        </w:rPr>
        <w:t>. Dužinska struktura populacije dagnji na postaji Porat - Kaštel Novi po mjesecima; A) prema dužini ljušture; B) prema širini ljušture</w:t>
      </w:r>
      <w:r w:rsidR="008F7453" w:rsidRPr="00F63CE3">
        <w:rPr>
          <w:rFonts w:ascii="Arial" w:hAnsi="Arial" w:cs="Arial"/>
        </w:rPr>
        <w:t>.</w:t>
      </w:r>
      <w:r w:rsidR="002E01A3" w:rsidRPr="00F63CE3">
        <w:rPr>
          <w:rFonts w:ascii="Arial" w:hAnsi="Arial" w:cs="Arial"/>
        </w:rPr>
        <w:t xml:space="preserve">                                                                    </w:t>
      </w:r>
      <w:r w:rsidR="008F7453" w:rsidRPr="00714F22">
        <w:rPr>
          <w:rFonts w:ascii="Arial" w:hAnsi="Arial" w:cs="Arial"/>
          <w:color w:val="808080" w:themeColor="background1" w:themeShade="80"/>
        </w:rPr>
        <w:t xml:space="preserve">Figure 4. </w:t>
      </w:r>
      <w:r w:rsidR="008F7453" w:rsidRPr="00714F22">
        <w:rPr>
          <w:rFonts w:ascii="Arial" w:hAnsi="Arial" w:cs="Arial"/>
          <w:color w:val="808080" w:themeColor="background1" w:themeShade="80"/>
          <w:lang w:val="en-US"/>
        </w:rPr>
        <w:t>Length structure of the mussel population at the Porat - Kaštel Novi station</w:t>
      </w:r>
      <w:r w:rsidR="00540242" w:rsidRPr="00714F22">
        <w:rPr>
          <w:rFonts w:ascii="Arial" w:hAnsi="Arial" w:cs="Arial"/>
          <w:color w:val="808080" w:themeColor="background1" w:themeShade="80"/>
          <w:lang w:val="en-US"/>
        </w:rPr>
        <w:t xml:space="preserve"> by months;</w:t>
      </w:r>
      <w:r w:rsidR="008F7453" w:rsidRPr="00714F22">
        <w:rPr>
          <w:rFonts w:ascii="Arial" w:hAnsi="Arial" w:cs="Arial"/>
          <w:color w:val="808080" w:themeColor="background1" w:themeShade="80"/>
          <w:lang w:val="en-US"/>
        </w:rPr>
        <w:t xml:space="preserve"> A) according to the length of the shell; B) according to the width of the shell.</w:t>
      </w:r>
    </w:p>
    <w:p w:rsidR="00835F52" w:rsidRPr="00F63CE3" w:rsidRDefault="00AE6339" w:rsidP="007A34D2">
      <w:pPr>
        <w:spacing w:after="0" w:line="240" w:lineRule="auto"/>
        <w:rPr>
          <w:rFonts w:ascii="Arial" w:hAnsi="Arial" w:cs="Arial"/>
        </w:rPr>
      </w:pPr>
      <w:r w:rsidRPr="00F63CE3">
        <w:rPr>
          <w:rFonts w:ascii="Arial" w:hAnsi="Arial" w:cs="Arial"/>
        </w:rPr>
        <w:t>Tablica 3. Srednja mjesečna dužinska struktura populacije dagnje na postaji Porat u Kaštel Novom</w:t>
      </w:r>
      <w:r w:rsidR="00835F52" w:rsidRPr="00F63CE3">
        <w:rPr>
          <w:rFonts w:ascii="Arial" w:hAnsi="Arial" w:cs="Arial"/>
        </w:rPr>
        <w:t>.</w:t>
      </w:r>
      <w:r w:rsidR="0018094C" w:rsidRPr="00F63CE3">
        <w:rPr>
          <w:rFonts w:ascii="Arial" w:hAnsi="Arial" w:cs="Arial"/>
        </w:rPr>
        <w:t xml:space="preserve">                                                                                                                                 </w:t>
      </w:r>
      <w:r w:rsidR="00835F52" w:rsidRPr="00714F22">
        <w:rPr>
          <w:rFonts w:ascii="Arial" w:hAnsi="Arial" w:cs="Arial"/>
          <w:color w:val="808080" w:themeColor="background1" w:themeShade="80"/>
        </w:rPr>
        <w:t>Table 3.</w:t>
      </w:r>
      <w:r w:rsidR="00835F52" w:rsidRPr="00714F22">
        <w:rPr>
          <w:rFonts w:ascii="Arial" w:hAnsi="Arial" w:cs="Arial"/>
          <w:color w:val="808080" w:themeColor="background1" w:themeShade="80"/>
          <w:lang w:val="en-US"/>
        </w:rPr>
        <w:t xml:space="preserve"> The mean length structure of mussel population at Porat station in Kaštel Novi by months.</w:t>
      </w:r>
    </w:p>
    <w:tbl>
      <w:tblPr>
        <w:tblStyle w:val="GridTable7ColorfulAccent1"/>
        <w:tblW w:w="6815"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98"/>
        <w:gridCol w:w="960"/>
        <w:gridCol w:w="977"/>
        <w:gridCol w:w="960"/>
        <w:gridCol w:w="960"/>
        <w:gridCol w:w="960"/>
      </w:tblGrid>
      <w:tr w:rsidR="00AE6339" w:rsidRPr="005E3576" w:rsidTr="00507E4A">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100" w:firstRow="0" w:lastRow="0" w:firstColumn="1" w:lastColumn="0" w:oddVBand="0" w:evenVBand="0" w:oddHBand="0" w:evenHBand="0" w:firstRowFirstColumn="1" w:firstRowLastColumn="0" w:lastRowFirstColumn="0" w:lastRowLastColumn="0"/>
            <w:tcW w:w="1998" w:type="dxa"/>
            <w:tcBorders>
              <w:top w:val="none" w:sz="0" w:space="0" w:color="auto"/>
              <w:left w:val="none" w:sz="0" w:space="0" w:color="auto"/>
              <w:bottom w:val="none" w:sz="0" w:space="0" w:color="auto"/>
              <w:right w:val="none" w:sz="0" w:space="0" w:color="auto"/>
            </w:tcBorders>
            <w:noWrap/>
            <w:vAlign w:val="center"/>
            <w:hideMark/>
          </w:tcPr>
          <w:p w:rsidR="00AE6339" w:rsidRPr="005E3576" w:rsidRDefault="00AE6339" w:rsidP="005E3576">
            <w:pPr>
              <w:jc w:val="center"/>
              <w:rPr>
                <w:rFonts w:ascii="Arial" w:eastAsia="Times New Roman" w:hAnsi="Arial" w:cs="Arial"/>
                <w:i w:val="0"/>
                <w:color w:val="000000"/>
                <w:sz w:val="18"/>
                <w:lang w:val="hr-HR" w:eastAsia="hr-HR"/>
              </w:rPr>
            </w:pPr>
          </w:p>
        </w:tc>
        <w:tc>
          <w:tcPr>
            <w:tcW w:w="960" w:type="dxa"/>
            <w:tcBorders>
              <w:top w:val="none" w:sz="0" w:space="0" w:color="auto"/>
              <w:left w:val="none" w:sz="0" w:space="0" w:color="auto"/>
              <w:right w:val="none" w:sz="0" w:space="0" w:color="auto"/>
            </w:tcBorders>
            <w:noWrap/>
            <w:vAlign w:val="center"/>
            <w:hideMark/>
          </w:tcPr>
          <w:p w:rsidR="00AE6339" w:rsidRPr="005E3576" w:rsidRDefault="00AE6339" w:rsidP="005E35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Studeni</w:t>
            </w:r>
          </w:p>
        </w:tc>
        <w:tc>
          <w:tcPr>
            <w:tcW w:w="977" w:type="dxa"/>
            <w:tcBorders>
              <w:top w:val="none" w:sz="0" w:space="0" w:color="auto"/>
              <w:left w:val="none" w:sz="0" w:space="0" w:color="auto"/>
              <w:right w:val="none" w:sz="0" w:space="0" w:color="auto"/>
            </w:tcBorders>
            <w:noWrap/>
            <w:vAlign w:val="center"/>
            <w:hideMark/>
          </w:tcPr>
          <w:p w:rsidR="00AE6339" w:rsidRPr="005E3576" w:rsidRDefault="00AE6339" w:rsidP="005E35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Prosinac</w:t>
            </w:r>
          </w:p>
        </w:tc>
        <w:tc>
          <w:tcPr>
            <w:tcW w:w="960" w:type="dxa"/>
            <w:tcBorders>
              <w:top w:val="none" w:sz="0" w:space="0" w:color="auto"/>
              <w:left w:val="none" w:sz="0" w:space="0" w:color="auto"/>
              <w:right w:val="none" w:sz="0" w:space="0" w:color="auto"/>
            </w:tcBorders>
            <w:noWrap/>
            <w:vAlign w:val="center"/>
            <w:hideMark/>
          </w:tcPr>
          <w:p w:rsidR="00AE6339" w:rsidRPr="005E3576" w:rsidRDefault="00AE6339" w:rsidP="005E35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Siječanj</w:t>
            </w:r>
          </w:p>
        </w:tc>
        <w:tc>
          <w:tcPr>
            <w:tcW w:w="960" w:type="dxa"/>
            <w:tcBorders>
              <w:top w:val="none" w:sz="0" w:space="0" w:color="auto"/>
              <w:left w:val="none" w:sz="0" w:space="0" w:color="auto"/>
              <w:right w:val="none" w:sz="0" w:space="0" w:color="auto"/>
            </w:tcBorders>
            <w:noWrap/>
            <w:vAlign w:val="center"/>
            <w:hideMark/>
          </w:tcPr>
          <w:p w:rsidR="00AE6339" w:rsidRPr="005E3576" w:rsidRDefault="00AE6339" w:rsidP="005E35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Veljača</w:t>
            </w:r>
          </w:p>
        </w:tc>
        <w:tc>
          <w:tcPr>
            <w:tcW w:w="960" w:type="dxa"/>
            <w:tcBorders>
              <w:top w:val="none" w:sz="0" w:space="0" w:color="auto"/>
              <w:left w:val="none" w:sz="0" w:space="0" w:color="auto"/>
              <w:right w:val="none" w:sz="0" w:space="0" w:color="auto"/>
            </w:tcBorders>
            <w:noWrap/>
            <w:vAlign w:val="center"/>
            <w:hideMark/>
          </w:tcPr>
          <w:p w:rsidR="00AE6339" w:rsidRPr="005E3576" w:rsidRDefault="00AE6339" w:rsidP="005E35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Total</w:t>
            </w:r>
          </w:p>
        </w:tc>
      </w:tr>
      <w:tr w:rsidR="00507E4A" w:rsidRPr="005E3576" w:rsidTr="00CB49A8">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bottom w:val="none" w:sz="0" w:space="0" w:color="auto"/>
            </w:tcBorders>
            <w:noWrap/>
            <w:vAlign w:val="center"/>
            <w:hideMark/>
          </w:tcPr>
          <w:p w:rsidR="00507E4A" w:rsidRPr="005E3576" w:rsidRDefault="00507E4A" w:rsidP="005E3576">
            <w:pPr>
              <w:jc w:val="center"/>
              <w:rPr>
                <w:rFonts w:ascii="Arial" w:eastAsia="Times New Roman" w:hAnsi="Arial" w:cs="Arial"/>
                <w:i w:val="0"/>
                <w:color w:val="000000"/>
                <w:sz w:val="18"/>
                <w:lang w:val="hr-HR" w:eastAsia="hr-HR"/>
              </w:rPr>
            </w:pPr>
          </w:p>
        </w:tc>
        <w:tc>
          <w:tcPr>
            <w:tcW w:w="4817" w:type="dxa"/>
            <w:gridSpan w:val="5"/>
            <w:noWrap/>
            <w:vAlign w:val="center"/>
            <w:hideMark/>
          </w:tcPr>
          <w:p w:rsidR="00507E4A" w:rsidRPr="005E3576" w:rsidRDefault="00507E4A"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lang w:val="hr-HR" w:eastAsia="hr-HR"/>
              </w:rPr>
            </w:pPr>
            <w:r w:rsidRPr="005E3576">
              <w:rPr>
                <w:rFonts w:ascii="Arial" w:eastAsia="Times New Roman" w:hAnsi="Arial" w:cs="Arial"/>
                <w:b/>
                <w:color w:val="000000"/>
                <w:sz w:val="18"/>
                <w:lang w:val="hr-HR" w:eastAsia="hr-HR"/>
              </w:rPr>
              <w:t>Dužina ljušture</w:t>
            </w:r>
          </w:p>
        </w:tc>
      </w:tr>
      <w:tr w:rsidR="00AE6339" w:rsidRPr="005E3576" w:rsidTr="00507E4A">
        <w:trPr>
          <w:trHeight w:val="170"/>
          <w:jc w:val="center"/>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bottom w:val="none" w:sz="0" w:space="0" w:color="auto"/>
            </w:tcBorders>
            <w:noWrap/>
            <w:vAlign w:val="center"/>
            <w:hideMark/>
          </w:tcPr>
          <w:p w:rsidR="00AE6339" w:rsidRPr="005E3576" w:rsidRDefault="00AE6339" w:rsidP="005E3576">
            <w:pPr>
              <w:jc w:val="center"/>
              <w:rPr>
                <w:rFonts w:ascii="Arial" w:eastAsia="Times New Roman" w:hAnsi="Arial" w:cs="Arial"/>
                <w:i w:val="0"/>
                <w:color w:val="000000"/>
                <w:sz w:val="18"/>
                <w:lang w:val="hr-HR" w:eastAsia="hr-HR"/>
              </w:rPr>
            </w:pPr>
            <w:r w:rsidRPr="005E3576">
              <w:rPr>
                <w:rFonts w:ascii="Arial" w:eastAsia="Times New Roman" w:hAnsi="Arial" w:cs="Arial"/>
                <w:i w:val="0"/>
                <w:color w:val="000000"/>
                <w:sz w:val="18"/>
                <w:lang w:val="hr-HR" w:eastAsia="hr-HR"/>
              </w:rPr>
              <w:t>Srednja vrijednost</w:t>
            </w:r>
          </w:p>
        </w:tc>
        <w:tc>
          <w:tcPr>
            <w:tcW w:w="960"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31.63</w:t>
            </w:r>
          </w:p>
        </w:tc>
        <w:tc>
          <w:tcPr>
            <w:tcW w:w="977"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29.15</w:t>
            </w:r>
          </w:p>
        </w:tc>
        <w:tc>
          <w:tcPr>
            <w:tcW w:w="960"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37.05</w:t>
            </w:r>
          </w:p>
        </w:tc>
        <w:tc>
          <w:tcPr>
            <w:tcW w:w="960"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39.40</w:t>
            </w:r>
          </w:p>
        </w:tc>
        <w:tc>
          <w:tcPr>
            <w:tcW w:w="960"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33.00</w:t>
            </w:r>
          </w:p>
        </w:tc>
      </w:tr>
      <w:tr w:rsidR="00AE6339" w:rsidRPr="005E3576" w:rsidTr="00507E4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bottom w:val="none" w:sz="0" w:space="0" w:color="auto"/>
            </w:tcBorders>
            <w:noWrap/>
            <w:vAlign w:val="center"/>
          </w:tcPr>
          <w:p w:rsidR="00AE6339" w:rsidRPr="005E3576" w:rsidRDefault="00AE6339" w:rsidP="005E3576">
            <w:pPr>
              <w:jc w:val="center"/>
              <w:rPr>
                <w:rFonts w:ascii="Arial" w:eastAsia="Times New Roman" w:hAnsi="Arial" w:cs="Arial"/>
                <w:i w:val="0"/>
                <w:color w:val="000000"/>
                <w:sz w:val="18"/>
                <w:lang w:val="hr-HR" w:eastAsia="hr-HR"/>
              </w:rPr>
            </w:pPr>
            <w:r w:rsidRPr="005E3576">
              <w:rPr>
                <w:rFonts w:ascii="Arial" w:eastAsia="Times New Roman" w:hAnsi="Arial" w:cs="Arial"/>
                <w:i w:val="0"/>
                <w:color w:val="000000"/>
                <w:sz w:val="18"/>
                <w:lang w:val="hr-HR" w:eastAsia="hr-HR"/>
              </w:rPr>
              <w:t>Stand. Devijacija</w:t>
            </w:r>
          </w:p>
        </w:tc>
        <w:tc>
          <w:tcPr>
            <w:tcW w:w="960"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4.86</w:t>
            </w:r>
          </w:p>
        </w:tc>
        <w:tc>
          <w:tcPr>
            <w:tcW w:w="977"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5.20</w:t>
            </w:r>
          </w:p>
        </w:tc>
        <w:tc>
          <w:tcPr>
            <w:tcW w:w="960"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6.49</w:t>
            </w:r>
          </w:p>
        </w:tc>
        <w:tc>
          <w:tcPr>
            <w:tcW w:w="960"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4.76</w:t>
            </w:r>
          </w:p>
        </w:tc>
        <w:tc>
          <w:tcPr>
            <w:tcW w:w="960"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6.54</w:t>
            </w:r>
          </w:p>
        </w:tc>
      </w:tr>
      <w:tr w:rsidR="00507E4A" w:rsidRPr="005E3576" w:rsidTr="00CB49A8">
        <w:trPr>
          <w:trHeight w:val="170"/>
          <w:jc w:val="center"/>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bottom w:val="none" w:sz="0" w:space="0" w:color="auto"/>
            </w:tcBorders>
            <w:noWrap/>
            <w:vAlign w:val="center"/>
            <w:hideMark/>
          </w:tcPr>
          <w:p w:rsidR="00507E4A" w:rsidRPr="005E3576" w:rsidRDefault="00507E4A" w:rsidP="005E3576">
            <w:pPr>
              <w:jc w:val="center"/>
              <w:rPr>
                <w:rFonts w:ascii="Arial" w:eastAsia="Times New Roman" w:hAnsi="Arial" w:cs="Arial"/>
                <w:i w:val="0"/>
                <w:color w:val="000000"/>
                <w:sz w:val="18"/>
                <w:lang w:val="hr-HR" w:eastAsia="hr-HR"/>
              </w:rPr>
            </w:pPr>
          </w:p>
        </w:tc>
        <w:tc>
          <w:tcPr>
            <w:tcW w:w="4817" w:type="dxa"/>
            <w:gridSpan w:val="5"/>
            <w:noWrap/>
            <w:vAlign w:val="center"/>
            <w:hideMark/>
          </w:tcPr>
          <w:p w:rsidR="00507E4A" w:rsidRPr="005E3576" w:rsidRDefault="00507E4A"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lang w:val="hr-HR" w:eastAsia="hr-HR"/>
              </w:rPr>
            </w:pPr>
            <w:r w:rsidRPr="005E3576">
              <w:rPr>
                <w:rFonts w:ascii="Arial" w:eastAsia="Times New Roman" w:hAnsi="Arial" w:cs="Arial"/>
                <w:b/>
                <w:color w:val="000000"/>
                <w:sz w:val="18"/>
                <w:lang w:val="hr-HR" w:eastAsia="hr-HR"/>
              </w:rPr>
              <w:t>Širina ljušture</w:t>
            </w:r>
          </w:p>
        </w:tc>
      </w:tr>
      <w:tr w:rsidR="00AE6339" w:rsidRPr="005E3576" w:rsidTr="00507E4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bottom w:val="none" w:sz="0" w:space="0" w:color="auto"/>
            </w:tcBorders>
            <w:noWrap/>
            <w:vAlign w:val="center"/>
            <w:hideMark/>
          </w:tcPr>
          <w:p w:rsidR="00AE6339" w:rsidRPr="005E3576" w:rsidRDefault="00AE6339" w:rsidP="005E3576">
            <w:pPr>
              <w:jc w:val="center"/>
              <w:rPr>
                <w:rFonts w:ascii="Arial" w:eastAsia="Times New Roman" w:hAnsi="Arial" w:cs="Arial"/>
                <w:i w:val="0"/>
                <w:color w:val="000000"/>
                <w:sz w:val="18"/>
                <w:lang w:val="hr-HR" w:eastAsia="hr-HR"/>
              </w:rPr>
            </w:pPr>
            <w:r w:rsidRPr="005E3576">
              <w:rPr>
                <w:rFonts w:ascii="Arial" w:eastAsia="Times New Roman" w:hAnsi="Arial" w:cs="Arial"/>
                <w:i w:val="0"/>
                <w:color w:val="000000"/>
                <w:sz w:val="18"/>
                <w:lang w:val="hr-HR" w:eastAsia="hr-HR"/>
              </w:rPr>
              <w:t>Srednja vrijednost</w:t>
            </w:r>
          </w:p>
        </w:tc>
        <w:tc>
          <w:tcPr>
            <w:tcW w:w="960"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19.10</w:t>
            </w:r>
          </w:p>
        </w:tc>
        <w:tc>
          <w:tcPr>
            <w:tcW w:w="977"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18.55</w:t>
            </w:r>
          </w:p>
        </w:tc>
        <w:tc>
          <w:tcPr>
            <w:tcW w:w="960"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22.10</w:t>
            </w:r>
          </w:p>
        </w:tc>
        <w:tc>
          <w:tcPr>
            <w:tcW w:w="960"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24.05</w:t>
            </w:r>
          </w:p>
        </w:tc>
        <w:tc>
          <w:tcPr>
            <w:tcW w:w="960" w:type="dxa"/>
            <w:noWrap/>
            <w:vAlign w:val="center"/>
            <w:hideMark/>
          </w:tcPr>
          <w:p w:rsidR="00AE6339" w:rsidRPr="005E3576" w:rsidRDefault="00AE6339" w:rsidP="005E35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20.24</w:t>
            </w:r>
          </w:p>
        </w:tc>
      </w:tr>
      <w:tr w:rsidR="00AE6339" w:rsidRPr="005E3576" w:rsidTr="00507E4A">
        <w:trPr>
          <w:trHeight w:val="170"/>
          <w:jc w:val="center"/>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bottom w:val="none" w:sz="0" w:space="0" w:color="auto"/>
            </w:tcBorders>
            <w:noWrap/>
            <w:vAlign w:val="center"/>
            <w:hideMark/>
          </w:tcPr>
          <w:p w:rsidR="00AE6339" w:rsidRPr="005E3576" w:rsidRDefault="00AE6339" w:rsidP="005E3576">
            <w:pPr>
              <w:jc w:val="center"/>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lastRenderedPageBreak/>
              <w:t>Stand. Devijacija</w:t>
            </w:r>
          </w:p>
        </w:tc>
        <w:tc>
          <w:tcPr>
            <w:tcW w:w="960"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2.59</w:t>
            </w:r>
          </w:p>
        </w:tc>
        <w:tc>
          <w:tcPr>
            <w:tcW w:w="977"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3.15</w:t>
            </w:r>
          </w:p>
        </w:tc>
        <w:tc>
          <w:tcPr>
            <w:tcW w:w="960"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3.32</w:t>
            </w:r>
          </w:p>
        </w:tc>
        <w:tc>
          <w:tcPr>
            <w:tcW w:w="960"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2.51</w:t>
            </w:r>
          </w:p>
        </w:tc>
        <w:tc>
          <w:tcPr>
            <w:tcW w:w="960" w:type="dxa"/>
            <w:noWrap/>
            <w:vAlign w:val="center"/>
            <w:hideMark/>
          </w:tcPr>
          <w:p w:rsidR="00AE6339" w:rsidRPr="005E3576" w:rsidRDefault="00AE6339" w:rsidP="005E35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5E3576">
              <w:rPr>
                <w:rFonts w:ascii="Arial" w:eastAsia="Times New Roman" w:hAnsi="Arial" w:cs="Arial"/>
                <w:color w:val="000000"/>
                <w:sz w:val="18"/>
                <w:lang w:val="hr-HR" w:eastAsia="hr-HR"/>
              </w:rPr>
              <w:t>3.58</w:t>
            </w:r>
          </w:p>
        </w:tc>
      </w:tr>
    </w:tbl>
    <w:p w:rsidR="005557D2" w:rsidRPr="00F63CE3" w:rsidRDefault="005557D2" w:rsidP="00AE6339">
      <w:pPr>
        <w:spacing w:line="240" w:lineRule="auto"/>
        <w:jc w:val="both"/>
        <w:rPr>
          <w:rFonts w:ascii="Arial" w:hAnsi="Arial" w:cs="Arial"/>
        </w:rPr>
      </w:pPr>
    </w:p>
    <w:p w:rsidR="005557D2" w:rsidRPr="00F63CE3" w:rsidRDefault="005557D2" w:rsidP="008376F8">
      <w:pPr>
        <w:spacing w:line="240" w:lineRule="auto"/>
        <w:rPr>
          <w:rFonts w:ascii="Arial" w:hAnsi="Arial" w:cs="Arial"/>
        </w:rPr>
      </w:pPr>
      <w:r w:rsidRPr="00F63CE3">
        <w:rPr>
          <w:rFonts w:ascii="Arial" w:hAnsi="Arial" w:cs="Arial"/>
        </w:rPr>
        <w:t>Tablica 4. Srednja mjesečna dužinska struktura populacije dagnje na postaji Institut.</w:t>
      </w:r>
      <w:r w:rsidR="0018094C" w:rsidRPr="00F63CE3">
        <w:rPr>
          <w:rFonts w:ascii="Arial" w:hAnsi="Arial" w:cs="Arial"/>
        </w:rPr>
        <w:t xml:space="preserve">      </w:t>
      </w:r>
      <w:r w:rsidRPr="008E5E98">
        <w:rPr>
          <w:rFonts w:ascii="Arial" w:hAnsi="Arial" w:cs="Arial"/>
          <w:color w:val="808080" w:themeColor="background1" w:themeShade="80"/>
          <w:lang w:val="en-US"/>
        </w:rPr>
        <w:t>Table 4. The mean length structure of mussel population at Institute station by months.</w:t>
      </w:r>
    </w:p>
    <w:tbl>
      <w:tblPr>
        <w:tblStyle w:val="GridTable3Accent1"/>
        <w:tblW w:w="81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53"/>
        <w:gridCol w:w="1203"/>
        <w:gridCol w:w="1105"/>
        <w:gridCol w:w="1230"/>
        <w:gridCol w:w="1133"/>
        <w:gridCol w:w="1048"/>
      </w:tblGrid>
      <w:tr w:rsidR="005557D2" w:rsidRPr="008E5E98" w:rsidTr="008E5E98">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2453" w:type="dxa"/>
            <w:tcBorders>
              <w:top w:val="none" w:sz="0" w:space="0" w:color="auto"/>
              <w:left w:val="none" w:sz="0" w:space="0" w:color="auto"/>
              <w:bottom w:val="none" w:sz="0" w:space="0" w:color="auto"/>
              <w:right w:val="none" w:sz="0" w:space="0" w:color="auto"/>
            </w:tcBorders>
            <w:noWrap/>
            <w:vAlign w:val="center"/>
            <w:hideMark/>
          </w:tcPr>
          <w:p w:rsidR="005557D2" w:rsidRPr="008E5E98" w:rsidRDefault="005557D2" w:rsidP="008E5E98">
            <w:pPr>
              <w:jc w:val="center"/>
              <w:rPr>
                <w:rFonts w:ascii="Arial" w:eastAsia="Times New Roman" w:hAnsi="Arial" w:cs="Arial"/>
                <w:i w:val="0"/>
                <w:color w:val="000000"/>
                <w:sz w:val="18"/>
                <w:lang w:val="hr-HR" w:eastAsia="hr-HR"/>
              </w:rPr>
            </w:pPr>
          </w:p>
        </w:tc>
        <w:tc>
          <w:tcPr>
            <w:tcW w:w="1203" w:type="dxa"/>
            <w:tcBorders>
              <w:top w:val="none" w:sz="0" w:space="0" w:color="auto"/>
              <w:left w:val="none" w:sz="0" w:space="0" w:color="auto"/>
              <w:right w:val="none" w:sz="0" w:space="0" w:color="auto"/>
            </w:tcBorders>
            <w:noWrap/>
            <w:vAlign w:val="center"/>
            <w:hideMark/>
          </w:tcPr>
          <w:p w:rsidR="005557D2" w:rsidRPr="008E5E98" w:rsidRDefault="005557D2" w:rsidP="008E5E9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Listopad</w:t>
            </w:r>
          </w:p>
        </w:tc>
        <w:tc>
          <w:tcPr>
            <w:tcW w:w="1105" w:type="dxa"/>
            <w:tcBorders>
              <w:top w:val="none" w:sz="0" w:space="0" w:color="auto"/>
              <w:left w:val="none" w:sz="0" w:space="0" w:color="auto"/>
              <w:right w:val="none" w:sz="0" w:space="0" w:color="auto"/>
            </w:tcBorders>
            <w:noWrap/>
            <w:vAlign w:val="center"/>
            <w:hideMark/>
          </w:tcPr>
          <w:p w:rsidR="005557D2" w:rsidRPr="008E5E98" w:rsidRDefault="005557D2" w:rsidP="008E5E9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Studeni</w:t>
            </w:r>
          </w:p>
        </w:tc>
        <w:tc>
          <w:tcPr>
            <w:tcW w:w="1230" w:type="dxa"/>
            <w:tcBorders>
              <w:top w:val="none" w:sz="0" w:space="0" w:color="auto"/>
              <w:left w:val="none" w:sz="0" w:space="0" w:color="auto"/>
              <w:right w:val="none" w:sz="0" w:space="0" w:color="auto"/>
            </w:tcBorders>
            <w:noWrap/>
            <w:vAlign w:val="center"/>
            <w:hideMark/>
          </w:tcPr>
          <w:p w:rsidR="005557D2" w:rsidRPr="008E5E98" w:rsidRDefault="005557D2" w:rsidP="008E5E9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Prosinac</w:t>
            </w:r>
          </w:p>
        </w:tc>
        <w:tc>
          <w:tcPr>
            <w:tcW w:w="1133" w:type="dxa"/>
            <w:tcBorders>
              <w:top w:val="none" w:sz="0" w:space="0" w:color="auto"/>
              <w:left w:val="none" w:sz="0" w:space="0" w:color="auto"/>
              <w:right w:val="none" w:sz="0" w:space="0" w:color="auto"/>
            </w:tcBorders>
            <w:noWrap/>
            <w:vAlign w:val="center"/>
            <w:hideMark/>
          </w:tcPr>
          <w:p w:rsidR="005557D2" w:rsidRPr="008E5E98" w:rsidRDefault="005557D2" w:rsidP="008E5E9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Siječanj</w:t>
            </w:r>
          </w:p>
        </w:tc>
        <w:tc>
          <w:tcPr>
            <w:tcW w:w="1048" w:type="dxa"/>
            <w:tcBorders>
              <w:top w:val="none" w:sz="0" w:space="0" w:color="auto"/>
              <w:left w:val="none" w:sz="0" w:space="0" w:color="auto"/>
              <w:right w:val="none" w:sz="0" w:space="0" w:color="auto"/>
            </w:tcBorders>
            <w:noWrap/>
            <w:vAlign w:val="center"/>
            <w:hideMark/>
          </w:tcPr>
          <w:p w:rsidR="005557D2" w:rsidRPr="008E5E98" w:rsidRDefault="005557D2" w:rsidP="008E5E9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Total</w:t>
            </w:r>
          </w:p>
        </w:tc>
      </w:tr>
      <w:tr w:rsidR="005557D2" w:rsidRPr="008E5E98" w:rsidTr="008E5E9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453" w:type="dxa"/>
            <w:tcBorders>
              <w:left w:val="none" w:sz="0" w:space="0" w:color="auto"/>
              <w:bottom w:val="none" w:sz="0" w:space="0" w:color="auto"/>
            </w:tcBorders>
            <w:noWrap/>
            <w:vAlign w:val="center"/>
            <w:hideMark/>
          </w:tcPr>
          <w:p w:rsidR="005557D2" w:rsidRPr="008E5E98" w:rsidRDefault="005557D2" w:rsidP="008E5E98">
            <w:pPr>
              <w:jc w:val="center"/>
              <w:rPr>
                <w:rFonts w:ascii="Arial" w:eastAsia="Times New Roman" w:hAnsi="Arial" w:cs="Arial"/>
                <w:i w:val="0"/>
                <w:color w:val="000000"/>
                <w:sz w:val="18"/>
                <w:lang w:val="hr-HR" w:eastAsia="hr-HR"/>
              </w:rPr>
            </w:pPr>
            <w:r w:rsidRPr="008E5E98">
              <w:rPr>
                <w:rFonts w:ascii="Arial" w:eastAsia="Times New Roman" w:hAnsi="Arial" w:cs="Arial"/>
                <w:i w:val="0"/>
                <w:color w:val="000000"/>
                <w:sz w:val="18"/>
                <w:lang w:val="hr-HR" w:eastAsia="hr-HR"/>
              </w:rPr>
              <w:t>Srednja vrijednost</w:t>
            </w:r>
          </w:p>
        </w:tc>
        <w:tc>
          <w:tcPr>
            <w:tcW w:w="1203" w:type="dxa"/>
            <w:noWrap/>
            <w:vAlign w:val="center"/>
            <w:hideMark/>
          </w:tcPr>
          <w:p w:rsidR="005557D2" w:rsidRPr="008E5E98" w:rsidRDefault="005557D2" w:rsidP="008E5E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45.86</w:t>
            </w:r>
          </w:p>
        </w:tc>
        <w:tc>
          <w:tcPr>
            <w:tcW w:w="1105" w:type="dxa"/>
            <w:noWrap/>
            <w:vAlign w:val="center"/>
            <w:hideMark/>
          </w:tcPr>
          <w:p w:rsidR="005557D2" w:rsidRPr="008E5E98" w:rsidRDefault="005557D2" w:rsidP="008E5E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46.69</w:t>
            </w:r>
          </w:p>
        </w:tc>
        <w:tc>
          <w:tcPr>
            <w:tcW w:w="1230" w:type="dxa"/>
            <w:noWrap/>
            <w:vAlign w:val="center"/>
            <w:hideMark/>
          </w:tcPr>
          <w:p w:rsidR="005557D2" w:rsidRPr="008E5E98" w:rsidRDefault="005557D2" w:rsidP="008E5E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46.80</w:t>
            </w:r>
          </w:p>
        </w:tc>
        <w:tc>
          <w:tcPr>
            <w:tcW w:w="1133" w:type="dxa"/>
            <w:noWrap/>
            <w:vAlign w:val="center"/>
            <w:hideMark/>
          </w:tcPr>
          <w:p w:rsidR="005557D2" w:rsidRPr="008E5E98" w:rsidRDefault="005557D2" w:rsidP="008E5E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47.41</w:t>
            </w:r>
          </w:p>
        </w:tc>
        <w:tc>
          <w:tcPr>
            <w:tcW w:w="1048" w:type="dxa"/>
            <w:noWrap/>
            <w:vAlign w:val="center"/>
            <w:hideMark/>
          </w:tcPr>
          <w:p w:rsidR="005557D2" w:rsidRPr="008E5E98" w:rsidRDefault="005557D2" w:rsidP="008E5E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46.69</w:t>
            </w:r>
          </w:p>
        </w:tc>
      </w:tr>
      <w:tr w:rsidR="005557D2" w:rsidRPr="008E5E98" w:rsidTr="008E5E98">
        <w:trPr>
          <w:trHeight w:val="170"/>
        </w:trPr>
        <w:tc>
          <w:tcPr>
            <w:cnfStyle w:val="001000000000" w:firstRow="0" w:lastRow="0" w:firstColumn="1" w:lastColumn="0" w:oddVBand="0" w:evenVBand="0" w:oddHBand="0" w:evenHBand="0" w:firstRowFirstColumn="0" w:firstRowLastColumn="0" w:lastRowFirstColumn="0" w:lastRowLastColumn="0"/>
            <w:tcW w:w="2453" w:type="dxa"/>
            <w:tcBorders>
              <w:left w:val="none" w:sz="0" w:space="0" w:color="auto"/>
              <w:bottom w:val="none" w:sz="0" w:space="0" w:color="auto"/>
            </w:tcBorders>
            <w:noWrap/>
            <w:vAlign w:val="center"/>
            <w:hideMark/>
          </w:tcPr>
          <w:p w:rsidR="005557D2" w:rsidRPr="008E5E98" w:rsidRDefault="005557D2" w:rsidP="008E5E98">
            <w:pPr>
              <w:jc w:val="center"/>
              <w:rPr>
                <w:rFonts w:ascii="Arial" w:eastAsia="Times New Roman" w:hAnsi="Arial" w:cs="Arial"/>
                <w:i w:val="0"/>
                <w:color w:val="000000"/>
                <w:sz w:val="18"/>
                <w:lang w:val="hr-HR" w:eastAsia="hr-HR"/>
              </w:rPr>
            </w:pPr>
            <w:r w:rsidRPr="008E5E98">
              <w:rPr>
                <w:rFonts w:ascii="Arial" w:eastAsia="Times New Roman" w:hAnsi="Arial" w:cs="Arial"/>
                <w:i w:val="0"/>
                <w:color w:val="000000"/>
                <w:sz w:val="18"/>
                <w:lang w:val="hr-HR" w:eastAsia="hr-HR"/>
              </w:rPr>
              <w:t>Standardna devijacija</w:t>
            </w:r>
          </w:p>
        </w:tc>
        <w:tc>
          <w:tcPr>
            <w:tcW w:w="1203" w:type="dxa"/>
            <w:noWrap/>
            <w:vAlign w:val="center"/>
            <w:hideMark/>
          </w:tcPr>
          <w:p w:rsidR="005557D2" w:rsidRPr="008E5E98" w:rsidRDefault="005557D2" w:rsidP="008E5E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2.53</w:t>
            </w:r>
          </w:p>
        </w:tc>
        <w:tc>
          <w:tcPr>
            <w:tcW w:w="1105" w:type="dxa"/>
            <w:noWrap/>
            <w:vAlign w:val="center"/>
            <w:hideMark/>
          </w:tcPr>
          <w:p w:rsidR="005557D2" w:rsidRPr="008E5E98" w:rsidRDefault="005557D2" w:rsidP="008E5E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2.39</w:t>
            </w:r>
          </w:p>
        </w:tc>
        <w:tc>
          <w:tcPr>
            <w:tcW w:w="1230" w:type="dxa"/>
            <w:noWrap/>
            <w:vAlign w:val="center"/>
            <w:hideMark/>
          </w:tcPr>
          <w:p w:rsidR="005557D2" w:rsidRPr="008E5E98" w:rsidRDefault="005557D2" w:rsidP="008E5E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2.23</w:t>
            </w:r>
          </w:p>
        </w:tc>
        <w:tc>
          <w:tcPr>
            <w:tcW w:w="1133" w:type="dxa"/>
            <w:noWrap/>
            <w:vAlign w:val="center"/>
            <w:hideMark/>
          </w:tcPr>
          <w:p w:rsidR="005557D2" w:rsidRPr="008E5E98" w:rsidRDefault="005557D2" w:rsidP="008E5E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2.72</w:t>
            </w:r>
          </w:p>
        </w:tc>
        <w:tc>
          <w:tcPr>
            <w:tcW w:w="1048" w:type="dxa"/>
            <w:noWrap/>
            <w:vAlign w:val="center"/>
            <w:hideMark/>
          </w:tcPr>
          <w:p w:rsidR="005557D2" w:rsidRPr="008E5E98" w:rsidRDefault="005557D2" w:rsidP="008E5E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8E5E98">
              <w:rPr>
                <w:rFonts w:ascii="Arial" w:eastAsia="Times New Roman" w:hAnsi="Arial" w:cs="Arial"/>
                <w:color w:val="000000"/>
                <w:sz w:val="18"/>
                <w:lang w:val="hr-HR" w:eastAsia="hr-HR"/>
              </w:rPr>
              <w:t>2.53</w:t>
            </w:r>
          </w:p>
        </w:tc>
      </w:tr>
    </w:tbl>
    <w:p w:rsidR="008B372E" w:rsidRPr="00F63CE3" w:rsidRDefault="008B372E" w:rsidP="005A5C06">
      <w:pPr>
        <w:spacing w:before="240" w:line="240" w:lineRule="auto"/>
        <w:jc w:val="both"/>
        <w:rPr>
          <w:rFonts w:ascii="Arial" w:hAnsi="Arial" w:cs="Arial"/>
        </w:rPr>
      </w:pPr>
      <w:r w:rsidRPr="00F63CE3">
        <w:rPr>
          <w:rFonts w:ascii="Arial" w:hAnsi="Arial" w:cs="Arial"/>
        </w:rPr>
        <w:t>Slična situacija je zabilježena i na lokalitetu Institut tijekom mjesečnog mjerenja dužinske strukture. Niže vrijednosti srednje dužine ljušture zabilježene su tijekom jesenskog perioda, a nakon toga dolazi do kontinuiranog rasta (Slika 5).</w:t>
      </w:r>
    </w:p>
    <w:p w:rsidR="00AE6339" w:rsidRPr="00F63CE3" w:rsidRDefault="00AE6339" w:rsidP="00AE6339">
      <w:pPr>
        <w:spacing w:line="240" w:lineRule="auto"/>
        <w:jc w:val="center"/>
        <w:rPr>
          <w:rFonts w:ascii="Arial" w:hAnsi="Arial" w:cs="Arial"/>
        </w:rPr>
      </w:pPr>
      <w:r w:rsidRPr="00F63CE3">
        <w:rPr>
          <w:rFonts w:ascii="Arial" w:hAnsi="Arial" w:cs="Arial"/>
          <w:noProof/>
          <w:lang w:eastAsia="hr-BA"/>
        </w:rPr>
        <w:drawing>
          <wp:inline distT="0" distB="0" distL="0" distR="0" wp14:anchorId="632733F2" wp14:editId="7200B07A">
            <wp:extent cx="4225925" cy="2143125"/>
            <wp:effectExtent l="0" t="0" r="317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9426" cy="2144900"/>
                    </a:xfrm>
                    <a:prstGeom prst="rect">
                      <a:avLst/>
                    </a:prstGeom>
                    <a:noFill/>
                  </pic:spPr>
                </pic:pic>
              </a:graphicData>
            </a:graphic>
          </wp:inline>
        </w:drawing>
      </w:r>
    </w:p>
    <w:p w:rsidR="00AE6339" w:rsidRPr="00294F5B" w:rsidRDefault="00AE6339" w:rsidP="00294F5B">
      <w:pPr>
        <w:rPr>
          <w:rFonts w:ascii="Arial" w:hAnsi="Arial" w:cs="Arial"/>
        </w:rPr>
      </w:pPr>
      <w:r w:rsidRPr="00294F5B">
        <w:rPr>
          <w:rFonts w:ascii="Arial" w:hAnsi="Arial" w:cs="Arial"/>
        </w:rPr>
        <w:t>Slika</w:t>
      </w:r>
      <w:r w:rsidR="00A66158" w:rsidRPr="00294F5B">
        <w:rPr>
          <w:rFonts w:ascii="Arial" w:hAnsi="Arial" w:cs="Arial"/>
        </w:rPr>
        <w:t xml:space="preserve"> 5</w:t>
      </w:r>
      <w:r w:rsidRPr="00294F5B">
        <w:rPr>
          <w:rFonts w:ascii="Arial" w:hAnsi="Arial" w:cs="Arial"/>
        </w:rPr>
        <w:t>. Dužinska struktura populacije dagnji po mjesecima na postaji Institut</w:t>
      </w:r>
      <w:r w:rsidR="003B184A" w:rsidRPr="00294F5B">
        <w:rPr>
          <w:rFonts w:ascii="Arial" w:hAnsi="Arial" w:cs="Arial"/>
        </w:rPr>
        <w:t>.</w:t>
      </w:r>
      <w:r w:rsidR="0018094C" w:rsidRPr="00294F5B">
        <w:rPr>
          <w:rFonts w:ascii="Arial" w:hAnsi="Arial" w:cs="Arial"/>
        </w:rPr>
        <w:t xml:space="preserve">                  </w:t>
      </w:r>
      <w:r w:rsidR="003B184A" w:rsidRPr="00294F5B">
        <w:rPr>
          <w:rFonts w:ascii="Arial" w:hAnsi="Arial" w:cs="Arial"/>
          <w:color w:val="808080" w:themeColor="background1" w:themeShade="80"/>
        </w:rPr>
        <w:t xml:space="preserve">Figure </w:t>
      </w:r>
      <w:r w:rsidR="00977D57" w:rsidRPr="00294F5B">
        <w:rPr>
          <w:rFonts w:ascii="Arial" w:hAnsi="Arial" w:cs="Arial"/>
          <w:color w:val="808080" w:themeColor="background1" w:themeShade="80"/>
        </w:rPr>
        <w:t>5</w:t>
      </w:r>
      <w:r w:rsidR="003B184A" w:rsidRPr="00294F5B">
        <w:rPr>
          <w:rFonts w:ascii="Arial" w:hAnsi="Arial" w:cs="Arial"/>
          <w:color w:val="808080" w:themeColor="background1" w:themeShade="80"/>
        </w:rPr>
        <w:t xml:space="preserve">. </w:t>
      </w:r>
      <w:r w:rsidR="003B184A" w:rsidRPr="00294F5B">
        <w:rPr>
          <w:rFonts w:ascii="Arial" w:hAnsi="Arial" w:cs="Arial"/>
          <w:color w:val="808080" w:themeColor="background1" w:themeShade="80"/>
          <w:lang w:val="en-US"/>
        </w:rPr>
        <w:t>Length structure of the mussel population at the Institute station by months.</w:t>
      </w:r>
    </w:p>
    <w:p w:rsidR="00AE6339" w:rsidRPr="00F63CE3" w:rsidRDefault="00AE6339" w:rsidP="00AE6339">
      <w:pPr>
        <w:spacing w:line="240" w:lineRule="auto"/>
        <w:jc w:val="both"/>
        <w:rPr>
          <w:rFonts w:ascii="Arial" w:hAnsi="Arial" w:cs="Arial"/>
        </w:rPr>
      </w:pPr>
      <w:r w:rsidRPr="00F63CE3">
        <w:rPr>
          <w:rFonts w:ascii="Arial" w:hAnsi="Arial" w:cs="Arial"/>
        </w:rPr>
        <w:t>U sklopu GLOBE projekta na lokaciji Porat Kaštel Novi redovito se provode mjerenja oceanografskih parametara površinske temperature i saliniteta mora. Temperatura mora tijekom perioda u kojem se ispitivala populacija dagnji na istom lokalitetu, se kretala u rasponu od 10°do 21° C. Najveće vrijednosti temperature su izmjerene početkom mjerenja u listopadu i studenom, a najniže u veljači. Vrijednosti saliniteta su pokazivale oscilacije od mjerenja do mjerenja, a kretale su se u rasponu od 33,2 do 36,7 ‰ sa srednjom vrijednošću od 35,28 ‰ (Tablica 5).</w:t>
      </w:r>
    </w:p>
    <w:p w:rsidR="0018094C" w:rsidRDefault="00AE6339" w:rsidP="00205143">
      <w:pPr>
        <w:spacing w:after="0"/>
        <w:rPr>
          <w:rFonts w:ascii="Arial" w:hAnsi="Arial" w:cs="Arial"/>
          <w:color w:val="808080" w:themeColor="background1" w:themeShade="80"/>
          <w:lang w:val="en-US"/>
        </w:rPr>
      </w:pPr>
      <w:r w:rsidRPr="00205143">
        <w:rPr>
          <w:rFonts w:ascii="Arial" w:hAnsi="Arial" w:cs="Arial"/>
        </w:rPr>
        <w:t xml:space="preserve">Tablica </w:t>
      </w:r>
      <w:r w:rsidR="007A0FB8">
        <w:rPr>
          <w:rFonts w:ascii="Arial" w:hAnsi="Arial" w:cs="Arial"/>
        </w:rPr>
        <w:t>5</w:t>
      </w:r>
      <w:r w:rsidRPr="00205143">
        <w:rPr>
          <w:rFonts w:ascii="Arial" w:hAnsi="Arial" w:cs="Arial"/>
        </w:rPr>
        <w:t>. Temperatura i salinitet mora – postaja Porat- Kaštel Novi</w:t>
      </w:r>
      <w:r w:rsidR="0018094C" w:rsidRPr="00205143">
        <w:rPr>
          <w:rFonts w:ascii="Arial" w:hAnsi="Arial" w:cs="Arial"/>
        </w:rPr>
        <w:t xml:space="preserve">.                                  </w:t>
      </w:r>
      <w:r w:rsidR="007A0FB8">
        <w:rPr>
          <w:rFonts w:ascii="Arial" w:hAnsi="Arial" w:cs="Arial"/>
          <w:iCs/>
          <w:color w:val="808080" w:themeColor="background1" w:themeShade="80"/>
          <w:lang w:val="en-US"/>
        </w:rPr>
        <w:t>Table 5</w:t>
      </w:r>
      <w:r w:rsidR="0018094C" w:rsidRPr="00205143">
        <w:rPr>
          <w:rFonts w:ascii="Arial" w:hAnsi="Arial" w:cs="Arial"/>
          <w:iCs/>
          <w:color w:val="808080" w:themeColor="background1" w:themeShade="80"/>
          <w:lang w:val="en-US"/>
        </w:rPr>
        <w:t xml:space="preserve">. Sea temperature and salinity - </w:t>
      </w:r>
      <w:r w:rsidR="0018094C" w:rsidRPr="00205143">
        <w:rPr>
          <w:rFonts w:ascii="Arial" w:hAnsi="Arial" w:cs="Arial"/>
          <w:color w:val="808080" w:themeColor="background1" w:themeShade="80"/>
          <w:lang w:val="en-US"/>
        </w:rPr>
        <w:t>Porat- Kaštel Novi station.</w:t>
      </w:r>
    </w:p>
    <w:p w:rsidR="00AE6339" w:rsidRPr="00F63CE3" w:rsidRDefault="00AE6339" w:rsidP="00C633E1">
      <w:pPr>
        <w:spacing w:line="240" w:lineRule="auto"/>
        <w:jc w:val="center"/>
        <w:rPr>
          <w:rFonts w:ascii="Arial" w:hAnsi="Arial" w:cs="Arial"/>
        </w:rPr>
      </w:pPr>
      <w:r w:rsidRPr="00291BFD">
        <w:rPr>
          <w:rFonts w:ascii="Arial" w:hAnsi="Arial" w:cs="Arial"/>
          <w:noProof/>
          <w:sz w:val="18"/>
          <w:lang w:eastAsia="hr-BA"/>
        </w:rPr>
        <w:lastRenderedPageBreak/>
        <w:drawing>
          <wp:inline distT="0" distB="0" distL="0" distR="0" wp14:anchorId="70D6F6C0" wp14:editId="01C51F76">
            <wp:extent cx="3009434" cy="2838450"/>
            <wp:effectExtent l="0" t="0" r="635" b="0"/>
            <wp:docPr id="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770" t="26522" r="43783" b="11738"/>
                    <a:stretch/>
                  </pic:blipFill>
                  <pic:spPr bwMode="auto">
                    <a:xfrm>
                      <a:off x="0" y="0"/>
                      <a:ext cx="3061479" cy="2887538"/>
                    </a:xfrm>
                    <a:prstGeom prst="rect">
                      <a:avLst/>
                    </a:prstGeom>
                    <a:ln>
                      <a:noFill/>
                    </a:ln>
                    <a:extLst>
                      <a:ext uri="{53640926-AAD7-44D8-BBD7-CCE9431645EC}">
                        <a14:shadowObscured xmlns:a14="http://schemas.microsoft.com/office/drawing/2010/main"/>
                      </a:ext>
                    </a:extLst>
                  </pic:spPr>
                </pic:pic>
              </a:graphicData>
            </a:graphic>
          </wp:inline>
        </w:drawing>
      </w:r>
    </w:p>
    <w:p w:rsidR="00AE6339" w:rsidRPr="00F63CE3" w:rsidRDefault="00AE6339" w:rsidP="00AE6339">
      <w:pPr>
        <w:spacing w:line="240" w:lineRule="auto"/>
        <w:jc w:val="both"/>
        <w:rPr>
          <w:rFonts w:ascii="Arial" w:hAnsi="Arial" w:cs="Arial"/>
        </w:rPr>
      </w:pPr>
      <w:r w:rsidRPr="00F63CE3">
        <w:rPr>
          <w:rFonts w:ascii="Arial" w:hAnsi="Arial" w:cs="Arial"/>
        </w:rPr>
        <w:t xml:space="preserve">Slična situacija je zabilježena i na postaji Institut gdje su </w:t>
      </w:r>
      <w:r w:rsidR="003B7E98" w:rsidRPr="00F63CE3">
        <w:rPr>
          <w:rFonts w:ascii="Arial" w:hAnsi="Arial" w:cs="Arial"/>
        </w:rPr>
        <w:t xml:space="preserve">se </w:t>
      </w:r>
      <w:r w:rsidRPr="00F63CE3">
        <w:rPr>
          <w:rFonts w:ascii="Arial" w:hAnsi="Arial" w:cs="Arial"/>
        </w:rPr>
        <w:t>vrijednosti površinske temperature mora kretale od  11°C do 20°C, a vrijednosti saliniteta u rasponu od 36,3 do 38,42 ‰ sa srednjom vrijednošću od 37,41 ‰ (Tablica 6).</w:t>
      </w:r>
    </w:p>
    <w:p w:rsidR="00C633E1" w:rsidRPr="00F63CE3" w:rsidRDefault="00AE6339" w:rsidP="000326C2">
      <w:pPr>
        <w:keepNext/>
        <w:spacing w:after="0" w:line="240" w:lineRule="auto"/>
        <w:rPr>
          <w:rFonts w:ascii="Arial" w:hAnsi="Arial" w:cs="Arial"/>
          <w:iCs/>
          <w:lang w:val="hr-HR"/>
        </w:rPr>
      </w:pPr>
      <w:r w:rsidRPr="00F63CE3">
        <w:rPr>
          <w:rFonts w:ascii="Arial" w:hAnsi="Arial" w:cs="Arial"/>
          <w:iCs/>
          <w:lang w:val="hr-HR"/>
        </w:rPr>
        <w:t>Tablica 6. Temperatura i salinitet mora – postaja Institut</w:t>
      </w:r>
      <w:r w:rsidR="00C633E1" w:rsidRPr="00F63CE3">
        <w:rPr>
          <w:rFonts w:ascii="Arial" w:hAnsi="Arial" w:cs="Arial"/>
          <w:iCs/>
          <w:lang w:val="hr-HR"/>
        </w:rPr>
        <w:t>.</w:t>
      </w:r>
      <w:r w:rsidR="00A20B48" w:rsidRPr="00F63CE3">
        <w:rPr>
          <w:rFonts w:ascii="Arial" w:hAnsi="Arial" w:cs="Arial"/>
          <w:iCs/>
          <w:lang w:val="hr-HR"/>
        </w:rPr>
        <w:t xml:space="preserve">                                                      </w:t>
      </w:r>
      <w:r w:rsidR="00C633E1" w:rsidRPr="000326C2">
        <w:rPr>
          <w:rFonts w:ascii="Arial" w:hAnsi="Arial" w:cs="Arial"/>
          <w:iCs/>
          <w:color w:val="808080" w:themeColor="background1" w:themeShade="80"/>
          <w:lang w:val="hr-HR"/>
        </w:rPr>
        <w:t xml:space="preserve">Table 6. </w:t>
      </w:r>
      <w:r w:rsidR="00C633E1" w:rsidRPr="000326C2">
        <w:rPr>
          <w:rFonts w:ascii="Arial" w:hAnsi="Arial" w:cs="Arial"/>
          <w:iCs/>
          <w:color w:val="808080" w:themeColor="background1" w:themeShade="80"/>
          <w:lang w:val="en-US"/>
        </w:rPr>
        <w:t>Sea temperature and salinity – Institute station.</w:t>
      </w:r>
    </w:p>
    <w:tbl>
      <w:tblPr>
        <w:tblStyle w:val="GridTable3Accent1"/>
        <w:tblW w:w="468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0"/>
        <w:gridCol w:w="1860"/>
        <w:gridCol w:w="1860"/>
      </w:tblGrid>
      <w:tr w:rsidR="00AE6339" w:rsidRPr="000326C2" w:rsidTr="000326C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60" w:type="dxa"/>
            <w:tcBorders>
              <w:top w:val="none" w:sz="0" w:space="0" w:color="auto"/>
              <w:left w:val="none" w:sz="0" w:space="0" w:color="auto"/>
              <w:bottom w:val="none" w:sz="0" w:space="0" w:color="auto"/>
              <w:right w:val="none" w:sz="0" w:space="0" w:color="auto"/>
            </w:tcBorders>
            <w:vAlign w:val="center"/>
            <w:hideMark/>
          </w:tcPr>
          <w:p w:rsidR="00AE6339" w:rsidRPr="000326C2" w:rsidRDefault="00AE6339" w:rsidP="000326C2">
            <w:pPr>
              <w:jc w:val="center"/>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Mjesec</w:t>
            </w:r>
          </w:p>
        </w:tc>
        <w:tc>
          <w:tcPr>
            <w:tcW w:w="1860" w:type="dxa"/>
            <w:tcBorders>
              <w:top w:val="none" w:sz="0" w:space="0" w:color="auto"/>
              <w:left w:val="none" w:sz="0" w:space="0" w:color="auto"/>
              <w:right w:val="none" w:sz="0" w:space="0" w:color="auto"/>
            </w:tcBorders>
            <w:vAlign w:val="center"/>
          </w:tcPr>
          <w:p w:rsidR="00AE6339" w:rsidRPr="000326C2" w:rsidRDefault="00AE6339" w:rsidP="000326C2">
            <w:pPr>
              <w:ind w:right="-2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eastAsia="hr-HR"/>
              </w:rPr>
            </w:pPr>
            <w:r w:rsidRPr="000326C2">
              <w:rPr>
                <w:rFonts w:ascii="Arial" w:hAnsi="Arial" w:cs="Arial"/>
                <w:sz w:val="18"/>
              </w:rPr>
              <w:t>Temperatura površine mora  (˚C)</w:t>
            </w:r>
          </w:p>
        </w:tc>
        <w:tc>
          <w:tcPr>
            <w:tcW w:w="1860" w:type="dxa"/>
            <w:tcBorders>
              <w:top w:val="none" w:sz="0" w:space="0" w:color="auto"/>
              <w:left w:val="none" w:sz="0" w:space="0" w:color="auto"/>
              <w:right w:val="none" w:sz="0" w:space="0" w:color="auto"/>
            </w:tcBorders>
            <w:vAlign w:val="center"/>
            <w:hideMark/>
          </w:tcPr>
          <w:p w:rsidR="00AE6339" w:rsidRPr="000326C2" w:rsidRDefault="00AE6339" w:rsidP="000326C2">
            <w:pPr>
              <w:ind w:right="-2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 xml:space="preserve">Salinitet </w:t>
            </w:r>
            <w:r w:rsidRPr="000326C2">
              <w:rPr>
                <w:rFonts w:ascii="Arial" w:eastAsia="Times New Roman" w:hAnsi="Arial" w:cs="Arial"/>
                <w:color w:val="FFFFFF"/>
                <w:sz w:val="18"/>
                <w:lang w:eastAsia="hr-HR"/>
              </w:rPr>
              <w:t>(‰)</w:t>
            </w:r>
          </w:p>
        </w:tc>
      </w:tr>
      <w:tr w:rsidR="00AE6339" w:rsidRPr="000326C2" w:rsidTr="000326C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tcBorders>
              <w:left w:val="none" w:sz="0" w:space="0" w:color="auto"/>
              <w:bottom w:val="none" w:sz="0" w:space="0" w:color="auto"/>
            </w:tcBorders>
            <w:noWrap/>
            <w:vAlign w:val="center"/>
            <w:hideMark/>
          </w:tcPr>
          <w:p w:rsidR="00AE6339" w:rsidRPr="000326C2" w:rsidRDefault="00AE6339" w:rsidP="000326C2">
            <w:pPr>
              <w:jc w:val="center"/>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10</w:t>
            </w:r>
          </w:p>
        </w:tc>
        <w:tc>
          <w:tcPr>
            <w:tcW w:w="1860" w:type="dxa"/>
            <w:vAlign w:val="center"/>
          </w:tcPr>
          <w:p w:rsidR="00AE6339" w:rsidRPr="000326C2" w:rsidRDefault="00AE6339" w:rsidP="000326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eastAsia="hr-HR"/>
              </w:rPr>
            </w:pPr>
            <w:r w:rsidRPr="000326C2">
              <w:rPr>
                <w:rFonts w:ascii="Arial" w:hAnsi="Arial" w:cs="Arial"/>
                <w:sz w:val="18"/>
              </w:rPr>
              <w:t>20.37</w:t>
            </w:r>
          </w:p>
        </w:tc>
        <w:tc>
          <w:tcPr>
            <w:tcW w:w="1860" w:type="dxa"/>
            <w:noWrap/>
            <w:vAlign w:val="center"/>
            <w:hideMark/>
          </w:tcPr>
          <w:p w:rsidR="00AE6339" w:rsidRPr="000326C2" w:rsidRDefault="00AE6339" w:rsidP="000326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38.42</w:t>
            </w:r>
          </w:p>
        </w:tc>
      </w:tr>
      <w:tr w:rsidR="00AE6339" w:rsidRPr="000326C2" w:rsidTr="000326C2">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tcBorders>
              <w:left w:val="none" w:sz="0" w:space="0" w:color="auto"/>
              <w:bottom w:val="none" w:sz="0" w:space="0" w:color="auto"/>
            </w:tcBorders>
            <w:noWrap/>
            <w:vAlign w:val="center"/>
            <w:hideMark/>
          </w:tcPr>
          <w:p w:rsidR="00AE6339" w:rsidRPr="000326C2" w:rsidRDefault="00AE6339" w:rsidP="000326C2">
            <w:pPr>
              <w:jc w:val="center"/>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11</w:t>
            </w:r>
          </w:p>
        </w:tc>
        <w:tc>
          <w:tcPr>
            <w:tcW w:w="1860" w:type="dxa"/>
            <w:vAlign w:val="center"/>
          </w:tcPr>
          <w:p w:rsidR="00AE6339" w:rsidRPr="000326C2" w:rsidRDefault="00AE6339" w:rsidP="000326C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eastAsia="hr-HR"/>
              </w:rPr>
            </w:pPr>
            <w:r w:rsidRPr="000326C2">
              <w:rPr>
                <w:rFonts w:ascii="Arial" w:hAnsi="Arial" w:cs="Arial"/>
                <w:sz w:val="18"/>
              </w:rPr>
              <w:t>15.4</w:t>
            </w:r>
          </w:p>
        </w:tc>
        <w:tc>
          <w:tcPr>
            <w:tcW w:w="1860" w:type="dxa"/>
            <w:noWrap/>
            <w:vAlign w:val="center"/>
            <w:hideMark/>
          </w:tcPr>
          <w:p w:rsidR="00AE6339" w:rsidRPr="000326C2" w:rsidRDefault="00AE6339" w:rsidP="000326C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38.05</w:t>
            </w:r>
          </w:p>
        </w:tc>
      </w:tr>
      <w:tr w:rsidR="00AE6339" w:rsidRPr="000326C2" w:rsidTr="000326C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tcBorders>
              <w:left w:val="none" w:sz="0" w:space="0" w:color="auto"/>
              <w:bottom w:val="none" w:sz="0" w:space="0" w:color="auto"/>
            </w:tcBorders>
            <w:noWrap/>
            <w:vAlign w:val="center"/>
            <w:hideMark/>
          </w:tcPr>
          <w:p w:rsidR="00AE6339" w:rsidRPr="000326C2" w:rsidRDefault="00AE6339" w:rsidP="000326C2">
            <w:pPr>
              <w:jc w:val="center"/>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12</w:t>
            </w:r>
          </w:p>
        </w:tc>
        <w:tc>
          <w:tcPr>
            <w:tcW w:w="1860" w:type="dxa"/>
            <w:vAlign w:val="center"/>
          </w:tcPr>
          <w:p w:rsidR="00AE6339" w:rsidRPr="000326C2" w:rsidRDefault="00AE6339" w:rsidP="000326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eastAsia="hr-HR"/>
              </w:rPr>
            </w:pPr>
            <w:r w:rsidRPr="000326C2">
              <w:rPr>
                <w:rFonts w:ascii="Arial" w:hAnsi="Arial" w:cs="Arial"/>
                <w:sz w:val="18"/>
              </w:rPr>
              <w:t>13.25</w:t>
            </w:r>
          </w:p>
        </w:tc>
        <w:tc>
          <w:tcPr>
            <w:tcW w:w="1860" w:type="dxa"/>
            <w:noWrap/>
            <w:vAlign w:val="center"/>
            <w:hideMark/>
          </w:tcPr>
          <w:p w:rsidR="00AE6339" w:rsidRPr="000326C2" w:rsidRDefault="00AE6339" w:rsidP="000326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37.91</w:t>
            </w:r>
          </w:p>
        </w:tc>
      </w:tr>
      <w:tr w:rsidR="00AE6339" w:rsidRPr="000326C2" w:rsidTr="000326C2">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tcBorders>
              <w:left w:val="none" w:sz="0" w:space="0" w:color="auto"/>
              <w:bottom w:val="none" w:sz="0" w:space="0" w:color="auto"/>
            </w:tcBorders>
            <w:noWrap/>
            <w:vAlign w:val="center"/>
            <w:hideMark/>
          </w:tcPr>
          <w:p w:rsidR="00AE6339" w:rsidRPr="000326C2" w:rsidRDefault="00AE6339" w:rsidP="000326C2">
            <w:pPr>
              <w:jc w:val="center"/>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1</w:t>
            </w:r>
          </w:p>
        </w:tc>
        <w:tc>
          <w:tcPr>
            <w:tcW w:w="1860" w:type="dxa"/>
            <w:vAlign w:val="center"/>
          </w:tcPr>
          <w:p w:rsidR="00AE6339" w:rsidRPr="000326C2" w:rsidRDefault="00AE6339" w:rsidP="000326C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eastAsia="hr-HR"/>
              </w:rPr>
            </w:pPr>
            <w:r w:rsidRPr="000326C2">
              <w:rPr>
                <w:rFonts w:ascii="Arial" w:hAnsi="Arial" w:cs="Arial"/>
                <w:sz w:val="18"/>
              </w:rPr>
              <w:t>11.79</w:t>
            </w:r>
          </w:p>
        </w:tc>
        <w:tc>
          <w:tcPr>
            <w:tcW w:w="1860" w:type="dxa"/>
            <w:noWrap/>
            <w:vAlign w:val="center"/>
            <w:hideMark/>
          </w:tcPr>
          <w:p w:rsidR="00AE6339" w:rsidRPr="000326C2" w:rsidRDefault="00AE6339" w:rsidP="000326C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36.4</w:t>
            </w:r>
          </w:p>
        </w:tc>
      </w:tr>
      <w:tr w:rsidR="00AE6339" w:rsidRPr="000326C2" w:rsidTr="000326C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tcBorders>
              <w:left w:val="none" w:sz="0" w:space="0" w:color="auto"/>
              <w:bottom w:val="none" w:sz="0" w:space="0" w:color="auto"/>
            </w:tcBorders>
            <w:noWrap/>
            <w:vAlign w:val="center"/>
            <w:hideMark/>
          </w:tcPr>
          <w:p w:rsidR="00AE6339" w:rsidRPr="000326C2" w:rsidRDefault="00AE6339" w:rsidP="000326C2">
            <w:pPr>
              <w:jc w:val="center"/>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2</w:t>
            </w:r>
          </w:p>
        </w:tc>
        <w:tc>
          <w:tcPr>
            <w:tcW w:w="1860" w:type="dxa"/>
            <w:vAlign w:val="center"/>
          </w:tcPr>
          <w:p w:rsidR="00AE6339" w:rsidRPr="000326C2" w:rsidRDefault="00AE6339" w:rsidP="000326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eastAsia="hr-HR"/>
              </w:rPr>
            </w:pPr>
            <w:r w:rsidRPr="000326C2">
              <w:rPr>
                <w:rFonts w:ascii="Arial" w:hAnsi="Arial" w:cs="Arial"/>
                <w:sz w:val="18"/>
              </w:rPr>
              <w:t>11.5</w:t>
            </w:r>
          </w:p>
        </w:tc>
        <w:tc>
          <w:tcPr>
            <w:tcW w:w="1860" w:type="dxa"/>
            <w:noWrap/>
            <w:vAlign w:val="center"/>
            <w:hideMark/>
          </w:tcPr>
          <w:p w:rsidR="00AE6339" w:rsidRPr="000326C2" w:rsidRDefault="00AE6339" w:rsidP="000326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lang w:val="hr-HR" w:eastAsia="hr-HR"/>
              </w:rPr>
            </w:pPr>
            <w:r w:rsidRPr="000326C2">
              <w:rPr>
                <w:rFonts w:ascii="Arial" w:eastAsia="Times New Roman" w:hAnsi="Arial" w:cs="Arial"/>
                <w:color w:val="000000"/>
                <w:sz w:val="18"/>
                <w:lang w:eastAsia="hr-HR"/>
              </w:rPr>
              <w:t>36.3</w:t>
            </w:r>
          </w:p>
        </w:tc>
      </w:tr>
    </w:tbl>
    <w:p w:rsidR="00AE6339" w:rsidRPr="00F63CE3" w:rsidRDefault="00AE6339" w:rsidP="007A34D2">
      <w:pPr>
        <w:spacing w:before="240" w:line="240" w:lineRule="auto"/>
        <w:jc w:val="both"/>
        <w:outlineLvl w:val="0"/>
        <w:rPr>
          <w:rFonts w:ascii="Arial" w:hAnsi="Arial" w:cs="Arial"/>
          <w:b/>
          <w:iCs/>
        </w:rPr>
      </w:pPr>
      <w:r w:rsidRPr="00F63CE3">
        <w:rPr>
          <w:rFonts w:ascii="Arial" w:hAnsi="Arial" w:cs="Arial"/>
          <w:b/>
          <w:iCs/>
        </w:rPr>
        <w:t>Rasprava i zaključci</w:t>
      </w:r>
    </w:p>
    <w:p w:rsidR="00AE6339" w:rsidRPr="00F63CE3" w:rsidRDefault="00AE6339" w:rsidP="00AE6339">
      <w:pPr>
        <w:spacing w:line="240" w:lineRule="auto"/>
        <w:jc w:val="both"/>
        <w:rPr>
          <w:rFonts w:ascii="Arial" w:hAnsi="Arial" w:cs="Arial"/>
        </w:rPr>
      </w:pPr>
      <w:r w:rsidRPr="00F63CE3">
        <w:rPr>
          <w:rFonts w:ascii="Arial" w:hAnsi="Arial" w:cs="Arial"/>
        </w:rPr>
        <w:t xml:space="preserve">Usporedbom rezultata mjerenja </w:t>
      </w:r>
      <w:r w:rsidR="006263B4" w:rsidRPr="00F63CE3">
        <w:rPr>
          <w:rFonts w:ascii="Arial" w:hAnsi="Arial" w:cs="Arial"/>
        </w:rPr>
        <w:t>u razdoblju od 1.</w:t>
      </w:r>
      <w:r w:rsidR="00DD61F8" w:rsidRPr="00F63CE3">
        <w:rPr>
          <w:rFonts w:ascii="Arial" w:hAnsi="Arial" w:cs="Arial"/>
        </w:rPr>
        <w:t>10.</w:t>
      </w:r>
      <w:r w:rsidR="006263B4" w:rsidRPr="00F63CE3">
        <w:rPr>
          <w:rFonts w:ascii="Arial" w:hAnsi="Arial" w:cs="Arial"/>
        </w:rPr>
        <w:t>2017. do 20.</w:t>
      </w:r>
      <w:r w:rsidR="00CB5176" w:rsidRPr="00F63CE3">
        <w:rPr>
          <w:rFonts w:ascii="Arial" w:hAnsi="Arial" w:cs="Arial"/>
        </w:rPr>
        <w:t>2.</w:t>
      </w:r>
      <w:r w:rsidR="006263B4" w:rsidRPr="00F63CE3">
        <w:rPr>
          <w:rFonts w:ascii="Arial" w:hAnsi="Arial" w:cs="Arial"/>
        </w:rPr>
        <w:t xml:space="preserve">2018. </w:t>
      </w:r>
      <w:r w:rsidRPr="00F63CE3">
        <w:rPr>
          <w:rFonts w:ascii="Arial" w:hAnsi="Arial" w:cs="Arial"/>
        </w:rPr>
        <w:t>između dviju lokacija u Kaštelanskom zaljevu</w:t>
      </w:r>
      <w:r w:rsidR="006263B4" w:rsidRPr="00F63CE3">
        <w:rPr>
          <w:rFonts w:ascii="Arial" w:hAnsi="Arial" w:cs="Arial"/>
        </w:rPr>
        <w:t>,</w:t>
      </w:r>
      <w:r w:rsidRPr="00F63CE3">
        <w:rPr>
          <w:rFonts w:ascii="Arial" w:hAnsi="Arial" w:cs="Arial"/>
        </w:rPr>
        <w:t xml:space="preserve"> uočavaju se razlike i kod vrijednosti mjerenja populacije dagnji kao i oceanografskih čimbenika. Rezultati pokazuju razlike u brojnosti i dužinskoj strukturi populacija dagnji između ove dvije postaje što se može dovesti u vezu s okolišnim čimbenicima, temperat</w:t>
      </w:r>
      <w:r w:rsidR="008D780B" w:rsidRPr="00F63CE3">
        <w:rPr>
          <w:rFonts w:ascii="Arial" w:hAnsi="Arial" w:cs="Arial"/>
        </w:rPr>
        <w:t>urom i salinitetom</w:t>
      </w:r>
      <w:r w:rsidRPr="00F63CE3">
        <w:rPr>
          <w:rFonts w:ascii="Arial" w:hAnsi="Arial" w:cs="Arial"/>
        </w:rPr>
        <w:t>. Na obje lokacije uočen je povećani prirast od jesenskog do zimskog razdoblja koji je praćen snižavanjem temperature mora ispod 20° C i opadanjem vrijednosti saliniteta. Ovo zapažanje je u suglasnosti s navodima u literaturi gdje je potvrđeno da se optimalni uvjeti za prirast dagnji ostvaruju pri temperaturama nižim od 20° C (Gosling, 2003; Župan i Šarić, 2014). Niže vrijednosti saliniteta su u direktnoj vezi s dotokom slatkih voda koje sa sobom nose velike količine hranjiv</w:t>
      </w:r>
      <w:r w:rsidR="00310914" w:rsidRPr="00F63CE3">
        <w:rPr>
          <w:rFonts w:ascii="Arial" w:hAnsi="Arial" w:cs="Arial"/>
        </w:rPr>
        <w:t>ih</w:t>
      </w:r>
      <w:r w:rsidRPr="00F63CE3">
        <w:rPr>
          <w:rFonts w:ascii="Arial" w:hAnsi="Arial" w:cs="Arial"/>
        </w:rPr>
        <w:t xml:space="preserve"> tvari (Bojanić i sur., 2006) što omogućuje veći i brži prirast.</w:t>
      </w:r>
    </w:p>
    <w:p w:rsidR="00AE6339" w:rsidRPr="00F63CE3" w:rsidRDefault="00AE6339" w:rsidP="00AE6339">
      <w:pPr>
        <w:spacing w:line="240" w:lineRule="auto"/>
        <w:jc w:val="both"/>
        <w:rPr>
          <w:rFonts w:ascii="Arial" w:hAnsi="Arial" w:cs="Arial"/>
        </w:rPr>
      </w:pPr>
      <w:r w:rsidRPr="00F63CE3">
        <w:rPr>
          <w:rFonts w:ascii="Arial" w:hAnsi="Arial" w:cs="Arial"/>
        </w:rPr>
        <w:t xml:space="preserve">Iako su obje ispitivane postaje smještene u Kaštelanskom zaljevu, morfološki jako slične – zaklonjene lučice, kamenita podloga, maksimalna dubina do 4 m te su udaljene svega 6 km, postoje značajne razlike u gustoći populacija kao i u dužinskom sastavu jedinki. Postaja Porat u Kaštel Novom je smještena usred </w:t>
      </w:r>
      <w:r w:rsidR="004B01B6" w:rsidRPr="00F63CE3">
        <w:rPr>
          <w:rFonts w:ascii="Arial" w:hAnsi="Arial" w:cs="Arial"/>
        </w:rPr>
        <w:t>K</w:t>
      </w:r>
      <w:r w:rsidRPr="00F63CE3">
        <w:rPr>
          <w:rFonts w:ascii="Arial" w:hAnsi="Arial" w:cs="Arial"/>
        </w:rPr>
        <w:t>aštelanskog zaljeva i tu prevladavaju povoljniji ekološki uvjeti. Dotoci slatke vode s obronaka brda Kozjak kao i strujanje rijeke Jadro dovode velike količine hranjivih tvari te na taj način ovo područje ima visoku primarnu produkciju (Zore-Armanda, 1980). Nasuprot tome, postaja Institut je smještena na samom izlazu iz Kaštelanskog zaljeva i u direktnom doticaju s otvorenijim morem što rezultira bržom izmjenom vodene mase i na taj način dolazi do pada koncentracija hranjivih tvari te povećanja saliniteta</w:t>
      </w:r>
      <w:r w:rsidR="005702B8" w:rsidRPr="00F63CE3">
        <w:rPr>
          <w:rFonts w:ascii="Arial" w:hAnsi="Arial" w:cs="Arial"/>
        </w:rPr>
        <w:t xml:space="preserve"> </w:t>
      </w:r>
      <w:r w:rsidR="006263B4" w:rsidRPr="00F63CE3">
        <w:rPr>
          <w:rFonts w:ascii="Arial" w:hAnsi="Arial" w:cs="Arial"/>
        </w:rPr>
        <w:t xml:space="preserve">(srednja vrijednost </w:t>
      </w:r>
      <w:bookmarkStart w:id="8" w:name="_Hlk512437170"/>
      <w:r w:rsidR="006263B4" w:rsidRPr="00F63CE3">
        <w:rPr>
          <w:rFonts w:ascii="Arial" w:hAnsi="Arial" w:cs="Arial"/>
        </w:rPr>
        <w:t>37.41 ‰</w:t>
      </w:r>
      <w:r w:rsidR="00564874" w:rsidRPr="00F63CE3">
        <w:rPr>
          <w:rFonts w:ascii="Arial" w:hAnsi="Arial" w:cs="Arial"/>
        </w:rPr>
        <w:t xml:space="preserve"> </w:t>
      </w:r>
      <w:bookmarkEnd w:id="8"/>
      <w:r w:rsidR="005702B8" w:rsidRPr="00F63CE3">
        <w:rPr>
          <w:rFonts w:ascii="Arial" w:hAnsi="Arial" w:cs="Arial"/>
        </w:rPr>
        <w:t xml:space="preserve">u odnosu na postaju Porat gdje je srednja </w:t>
      </w:r>
      <w:r w:rsidR="005702B8" w:rsidRPr="00F63CE3">
        <w:rPr>
          <w:rFonts w:ascii="Arial" w:hAnsi="Arial" w:cs="Arial"/>
        </w:rPr>
        <w:lastRenderedPageBreak/>
        <w:t>vrijednost 35.28 ‰)</w:t>
      </w:r>
      <w:r w:rsidR="006263B4" w:rsidRPr="00F63CE3">
        <w:rPr>
          <w:rFonts w:ascii="Arial" w:hAnsi="Arial" w:cs="Arial"/>
        </w:rPr>
        <w:t xml:space="preserve"> dok je površinska temperatura mora</w:t>
      </w:r>
      <w:r w:rsidR="0099006D" w:rsidRPr="00F63CE3">
        <w:rPr>
          <w:rFonts w:ascii="Arial" w:hAnsi="Arial" w:cs="Arial"/>
        </w:rPr>
        <w:t xml:space="preserve"> za 1-2°C niža u odnosu na središnji dio zaljeva.</w:t>
      </w:r>
      <w:r w:rsidRPr="00F63CE3">
        <w:rPr>
          <w:rFonts w:ascii="Arial" w:hAnsi="Arial" w:cs="Arial"/>
        </w:rPr>
        <w:t xml:space="preserve"> Nadalje, većim protokom mora povećava se i prostorna raspodjela ličinki, što može dovesti do smanjenja prihvata ličinki (Branch &amp; Steffani, 2004). Ličinačka faza predstavlja najosjetljiviji dio životnog ciklusa školjkaša, stoga manje povoljni ekološki čimbenici će zasigurno utjecati na mogućnost opstanka i brzinu prirasta te sazrijevanje (Barnabé, 2005) što na posljetku može dovesti do razlika u  gustoći populacija i dužinskoj struktur</w:t>
      </w:r>
      <w:r w:rsidR="0099006D" w:rsidRPr="00F63CE3">
        <w:rPr>
          <w:rFonts w:ascii="Arial" w:hAnsi="Arial" w:cs="Arial"/>
        </w:rPr>
        <w:t>i što se i potvrdilo u radu. Brojnost jedinki na istoj jediničnoj površini je dva puta veća u središnjem dijelu zaljeva (Porat – Kaštel Novi)</w:t>
      </w:r>
      <w:r w:rsidR="006A7E55" w:rsidRPr="00F63CE3">
        <w:rPr>
          <w:rFonts w:ascii="Arial" w:hAnsi="Arial" w:cs="Arial"/>
        </w:rPr>
        <w:t xml:space="preserve">. </w:t>
      </w:r>
    </w:p>
    <w:p w:rsidR="00564874" w:rsidRPr="00F63CE3" w:rsidRDefault="002973E9" w:rsidP="002973E9">
      <w:pPr>
        <w:spacing w:line="240" w:lineRule="auto"/>
        <w:jc w:val="both"/>
        <w:rPr>
          <w:rFonts w:ascii="Arial" w:hAnsi="Arial" w:cs="Arial"/>
        </w:rPr>
      </w:pPr>
      <w:r w:rsidRPr="00F63CE3">
        <w:rPr>
          <w:rFonts w:ascii="Arial" w:hAnsi="Arial" w:cs="Arial"/>
        </w:rPr>
        <w:t>Na temelju dobivenih rezultata može se zaključiti da</w:t>
      </w:r>
      <w:r w:rsidR="001E0A98" w:rsidRPr="00F63CE3">
        <w:rPr>
          <w:rFonts w:ascii="Arial" w:hAnsi="Arial" w:cs="Arial"/>
        </w:rPr>
        <w:t xml:space="preserve"> su </w:t>
      </w:r>
      <w:r w:rsidRPr="00F63CE3">
        <w:rPr>
          <w:rFonts w:ascii="Arial" w:hAnsi="Arial" w:cs="Arial"/>
        </w:rPr>
        <w:t>razli</w:t>
      </w:r>
      <w:r w:rsidR="007733B0" w:rsidRPr="00F63CE3">
        <w:rPr>
          <w:rFonts w:ascii="Arial" w:hAnsi="Arial" w:cs="Arial"/>
        </w:rPr>
        <w:t>ke u prirastu populacija dagnje</w:t>
      </w:r>
      <w:r w:rsidRPr="00F63CE3">
        <w:rPr>
          <w:rFonts w:ascii="Arial" w:hAnsi="Arial" w:cs="Arial"/>
        </w:rPr>
        <w:t xml:space="preserve"> (</w:t>
      </w:r>
      <w:r w:rsidRPr="00F63CE3">
        <w:rPr>
          <w:rFonts w:ascii="Arial" w:hAnsi="Arial" w:cs="Arial"/>
          <w:i/>
        </w:rPr>
        <w:t>Mytilus galloprovincialis</w:t>
      </w:r>
      <w:r w:rsidRPr="00F63CE3">
        <w:rPr>
          <w:rFonts w:ascii="Arial" w:hAnsi="Arial" w:cs="Arial"/>
        </w:rPr>
        <w:t>) na dva različita lokaliteta u Kaštelansko</w:t>
      </w:r>
      <w:r w:rsidR="00662F26" w:rsidRPr="00F63CE3">
        <w:rPr>
          <w:rFonts w:ascii="Arial" w:hAnsi="Arial" w:cs="Arial"/>
        </w:rPr>
        <w:t xml:space="preserve">m zaljevu u vezi s vrijednostima </w:t>
      </w:r>
      <w:r w:rsidR="001E0A98" w:rsidRPr="00F63CE3">
        <w:rPr>
          <w:rFonts w:ascii="Arial" w:hAnsi="Arial" w:cs="Arial"/>
        </w:rPr>
        <w:t>sali</w:t>
      </w:r>
      <w:r w:rsidR="00662F26" w:rsidRPr="00F63CE3">
        <w:rPr>
          <w:rFonts w:ascii="Arial" w:hAnsi="Arial" w:cs="Arial"/>
        </w:rPr>
        <w:t>niteta, temperature mora, hranjivim</w:t>
      </w:r>
      <w:r w:rsidR="00F843E0" w:rsidRPr="00F63CE3">
        <w:rPr>
          <w:rFonts w:ascii="Arial" w:hAnsi="Arial" w:cs="Arial"/>
        </w:rPr>
        <w:t xml:space="preserve"> tvari</w:t>
      </w:r>
      <w:r w:rsidR="00662F26" w:rsidRPr="00F63CE3">
        <w:rPr>
          <w:rFonts w:ascii="Arial" w:hAnsi="Arial" w:cs="Arial"/>
        </w:rPr>
        <w:t>ma, primarnoj produkciji, hrani, izloženosti</w:t>
      </w:r>
      <w:r w:rsidR="00564874" w:rsidRPr="00F63CE3">
        <w:rPr>
          <w:rFonts w:ascii="Arial" w:hAnsi="Arial" w:cs="Arial"/>
        </w:rPr>
        <w:t xml:space="preserve"> udarima valova i brzoj izmjeni vodene mase.</w:t>
      </w:r>
    </w:p>
    <w:p w:rsidR="00191EEE" w:rsidRPr="00F63CE3" w:rsidRDefault="00564874" w:rsidP="002D5E5F">
      <w:pPr>
        <w:spacing w:line="240" w:lineRule="auto"/>
        <w:jc w:val="both"/>
        <w:rPr>
          <w:rFonts w:ascii="Arial" w:hAnsi="Arial" w:cs="Arial"/>
        </w:rPr>
      </w:pPr>
      <w:r w:rsidRPr="00F63CE3">
        <w:rPr>
          <w:rFonts w:ascii="Arial" w:hAnsi="Arial" w:cs="Arial"/>
        </w:rPr>
        <w:t>Središnji dio</w:t>
      </w:r>
      <w:r w:rsidR="001E0A98" w:rsidRPr="00F63CE3">
        <w:rPr>
          <w:rFonts w:ascii="Arial" w:hAnsi="Arial" w:cs="Arial"/>
        </w:rPr>
        <w:t xml:space="preserve"> Kaštelanskog zaljeva</w:t>
      </w:r>
      <w:r w:rsidRPr="00F63CE3">
        <w:rPr>
          <w:rFonts w:ascii="Arial" w:hAnsi="Arial" w:cs="Arial"/>
        </w:rPr>
        <w:t>, postaja Porat,</w:t>
      </w:r>
      <w:r w:rsidR="001C06C3" w:rsidRPr="00F63CE3">
        <w:rPr>
          <w:rFonts w:ascii="Arial" w:hAnsi="Arial" w:cs="Arial"/>
        </w:rPr>
        <w:t xml:space="preserve"> ima </w:t>
      </w:r>
      <w:r w:rsidR="0019564C" w:rsidRPr="00F63CE3">
        <w:rPr>
          <w:rFonts w:ascii="Arial" w:hAnsi="Arial" w:cs="Arial"/>
        </w:rPr>
        <w:t xml:space="preserve">dvostruko </w:t>
      </w:r>
      <w:r w:rsidR="001C06C3" w:rsidRPr="00F63CE3">
        <w:rPr>
          <w:rFonts w:ascii="Arial" w:hAnsi="Arial" w:cs="Arial"/>
        </w:rPr>
        <w:t>veću gustoću</w:t>
      </w:r>
      <w:r w:rsidR="0019564C" w:rsidRPr="00F63CE3">
        <w:rPr>
          <w:rFonts w:ascii="Arial" w:hAnsi="Arial" w:cs="Arial"/>
        </w:rPr>
        <w:t xml:space="preserve"> populacija</w:t>
      </w:r>
      <w:r w:rsidR="001C06C3" w:rsidRPr="00F63CE3">
        <w:rPr>
          <w:rFonts w:ascii="Arial" w:hAnsi="Arial" w:cs="Arial"/>
        </w:rPr>
        <w:t xml:space="preserve">, </w:t>
      </w:r>
      <w:r w:rsidRPr="00F63CE3">
        <w:rPr>
          <w:rFonts w:ascii="Arial" w:hAnsi="Arial" w:cs="Arial"/>
        </w:rPr>
        <w:t>veći prirast</w:t>
      </w:r>
      <w:r w:rsidR="001C06C3" w:rsidRPr="00F63CE3">
        <w:rPr>
          <w:rFonts w:ascii="Arial" w:hAnsi="Arial" w:cs="Arial"/>
        </w:rPr>
        <w:t xml:space="preserve"> i više mlađih</w:t>
      </w:r>
      <w:r w:rsidRPr="00F63CE3">
        <w:rPr>
          <w:rFonts w:ascii="Arial" w:hAnsi="Arial" w:cs="Arial"/>
        </w:rPr>
        <w:t xml:space="preserve"> dagnji</w:t>
      </w:r>
      <w:r w:rsidR="001C06C3" w:rsidRPr="00F63CE3">
        <w:rPr>
          <w:rFonts w:ascii="Arial" w:hAnsi="Arial" w:cs="Arial"/>
        </w:rPr>
        <w:t xml:space="preserve"> </w:t>
      </w:r>
      <w:r w:rsidR="001C7AFC" w:rsidRPr="00F63CE3">
        <w:rPr>
          <w:rFonts w:ascii="Arial" w:hAnsi="Arial" w:cs="Arial"/>
        </w:rPr>
        <w:t>zbog</w:t>
      </w:r>
      <w:r w:rsidR="006263B4" w:rsidRPr="00F63CE3">
        <w:rPr>
          <w:rFonts w:ascii="Arial" w:hAnsi="Arial" w:cs="Arial"/>
        </w:rPr>
        <w:t xml:space="preserve"> dotoka slatke vode</w:t>
      </w:r>
      <w:r w:rsidR="001C7AFC" w:rsidRPr="00F63CE3">
        <w:rPr>
          <w:rFonts w:ascii="Arial" w:hAnsi="Arial" w:cs="Arial"/>
        </w:rPr>
        <w:t xml:space="preserve"> </w:t>
      </w:r>
      <w:r w:rsidR="006263B4" w:rsidRPr="00F63CE3">
        <w:rPr>
          <w:rFonts w:ascii="Arial" w:hAnsi="Arial" w:cs="Arial"/>
        </w:rPr>
        <w:t xml:space="preserve">a time </w:t>
      </w:r>
      <w:r w:rsidR="001C7AFC" w:rsidRPr="00F63CE3">
        <w:rPr>
          <w:rFonts w:ascii="Arial" w:hAnsi="Arial" w:cs="Arial"/>
        </w:rPr>
        <w:t>povoljnijeg saliniteta (35.28 ‰), temperature mora</w:t>
      </w:r>
      <w:r w:rsidR="001C06C3" w:rsidRPr="00F63CE3">
        <w:rPr>
          <w:rFonts w:ascii="Arial" w:hAnsi="Arial" w:cs="Arial"/>
        </w:rPr>
        <w:t xml:space="preserve"> koja je pretežno u optimalnim granicama (od 10° do 20°C), visoke primarne produkcije a time i veće ko</w:t>
      </w:r>
      <w:r w:rsidR="002D5E5F" w:rsidRPr="00F63CE3">
        <w:rPr>
          <w:rFonts w:ascii="Arial" w:hAnsi="Arial" w:cs="Arial"/>
        </w:rPr>
        <w:t>ličine hrane</w:t>
      </w:r>
      <w:r w:rsidR="006263B4" w:rsidRPr="00F63CE3">
        <w:rPr>
          <w:rFonts w:ascii="Arial" w:hAnsi="Arial" w:cs="Arial"/>
        </w:rPr>
        <w:t xml:space="preserve"> i umjerene izloženosti same postaje</w:t>
      </w:r>
      <w:r w:rsidR="002D5E5F" w:rsidRPr="00F63CE3">
        <w:rPr>
          <w:rFonts w:ascii="Arial" w:hAnsi="Arial" w:cs="Arial"/>
        </w:rPr>
        <w:t>.</w:t>
      </w:r>
    </w:p>
    <w:p w:rsidR="00F843E0" w:rsidRPr="00F63CE3" w:rsidRDefault="00F843E0" w:rsidP="002973E9">
      <w:pPr>
        <w:spacing w:line="240" w:lineRule="auto"/>
        <w:jc w:val="both"/>
        <w:rPr>
          <w:rFonts w:ascii="Arial" w:hAnsi="Arial" w:cs="Arial"/>
        </w:rPr>
      </w:pPr>
    </w:p>
    <w:p w:rsidR="00AE6339" w:rsidRPr="00F63CE3" w:rsidRDefault="00AE6339" w:rsidP="00313A73">
      <w:pPr>
        <w:spacing w:line="240" w:lineRule="auto"/>
        <w:jc w:val="both"/>
        <w:rPr>
          <w:rFonts w:ascii="Arial" w:eastAsia="Times New Roman" w:hAnsi="Arial" w:cs="Arial"/>
          <w:i/>
          <w:iCs/>
          <w:lang w:val="hr-HR" w:eastAsia="hr-HR"/>
        </w:rPr>
      </w:pPr>
      <w:r w:rsidRPr="00F63CE3">
        <w:rPr>
          <w:rFonts w:ascii="Arial" w:eastAsia="Times New Roman" w:hAnsi="Arial" w:cs="Arial"/>
          <w:b/>
          <w:bCs/>
          <w:lang w:val="hr-HR" w:eastAsia="hr-HR"/>
        </w:rPr>
        <w:t>Literaturni izvori</w:t>
      </w:r>
    </w:p>
    <w:p w:rsidR="00AE6339" w:rsidRPr="00F63CE3" w:rsidRDefault="00AE6339" w:rsidP="00313A73">
      <w:pPr>
        <w:numPr>
          <w:ilvl w:val="0"/>
          <w:numId w:val="1"/>
        </w:numPr>
        <w:spacing w:before="240" w:line="240" w:lineRule="auto"/>
        <w:contextualSpacing/>
        <w:jc w:val="both"/>
        <w:rPr>
          <w:rFonts w:ascii="Arial" w:hAnsi="Arial" w:cs="Arial"/>
        </w:rPr>
      </w:pPr>
      <w:r w:rsidRPr="00F63CE3">
        <w:rPr>
          <w:rFonts w:ascii="Arial" w:hAnsi="Arial" w:cs="Arial"/>
        </w:rPr>
        <w:t xml:space="preserve">Anestis, A., Lazou, A., Portner, H.O., Michaelidis, B. (2007) Behavioral and metabolic, and molecular stress responses of marine bivalve </w:t>
      </w:r>
      <w:r w:rsidRPr="00F63CE3">
        <w:rPr>
          <w:rFonts w:ascii="Arial" w:hAnsi="Arial" w:cs="Arial"/>
          <w:i/>
        </w:rPr>
        <w:t>Mytilus galloprovincialis</w:t>
      </w:r>
      <w:r w:rsidRPr="00F63CE3">
        <w:rPr>
          <w:rFonts w:ascii="Arial" w:hAnsi="Arial" w:cs="Arial"/>
        </w:rPr>
        <w:t xml:space="preserve"> during long-term acclimation at increasing ambient temperature. American Journal Of Physiology-Regulatory Integrative And Comparative Physiology, 293: R911–R921.</w:t>
      </w:r>
    </w:p>
    <w:p w:rsidR="00AE6339" w:rsidRPr="00F63CE3" w:rsidRDefault="00AE6339" w:rsidP="00AE6339">
      <w:pPr>
        <w:numPr>
          <w:ilvl w:val="0"/>
          <w:numId w:val="1"/>
        </w:numPr>
        <w:spacing w:line="240" w:lineRule="auto"/>
        <w:contextualSpacing/>
        <w:rPr>
          <w:rFonts w:ascii="Arial" w:hAnsi="Arial" w:cs="Arial"/>
          <w:lang w:val="hr-HR"/>
        </w:rPr>
      </w:pPr>
      <w:r w:rsidRPr="00F63CE3">
        <w:rPr>
          <w:rFonts w:ascii="Arial" w:hAnsi="Arial" w:cs="Arial"/>
          <w:lang w:val="hr-HR"/>
        </w:rPr>
        <w:t>Bačić, T., Erben, R., Krajačić, M. (2009) Raznolikost živoga svijeta: udžbenik biologije za drugi razred gimnazije. 7. izd. Zagreb: Školska knjiga</w:t>
      </w:r>
    </w:p>
    <w:p w:rsidR="00AE6339" w:rsidRPr="00F63CE3" w:rsidRDefault="00AE6339" w:rsidP="00AE6339">
      <w:pPr>
        <w:numPr>
          <w:ilvl w:val="0"/>
          <w:numId w:val="1"/>
        </w:numPr>
        <w:spacing w:line="240" w:lineRule="auto"/>
        <w:contextualSpacing/>
        <w:jc w:val="both"/>
        <w:rPr>
          <w:rFonts w:ascii="Arial" w:hAnsi="Arial" w:cs="Arial"/>
        </w:rPr>
      </w:pPr>
      <w:r w:rsidRPr="00F63CE3">
        <w:rPr>
          <w:rFonts w:ascii="Arial" w:hAnsi="Arial" w:cs="Arial"/>
        </w:rPr>
        <w:t>Bojanić, N., Vidjak, O., Brautović, I. (2006) Spatial and temporal variability in abundance and biomass of oligotrich ciliates in Kaštela Bay (middle Adriatic Sea). // Acta Adriatica. 47, 2; 93-109.</w:t>
      </w:r>
    </w:p>
    <w:p w:rsidR="00AE6339" w:rsidRPr="00F63CE3" w:rsidRDefault="00AE6339" w:rsidP="00AE6339">
      <w:pPr>
        <w:numPr>
          <w:ilvl w:val="0"/>
          <w:numId w:val="1"/>
        </w:numPr>
        <w:spacing w:line="240" w:lineRule="auto"/>
        <w:contextualSpacing/>
        <w:rPr>
          <w:rFonts w:ascii="Arial" w:hAnsi="Arial" w:cs="Arial"/>
          <w:lang w:val="en-GB"/>
        </w:rPr>
      </w:pPr>
      <w:r w:rsidRPr="00F63CE3">
        <w:rPr>
          <w:rFonts w:ascii="Arial" w:hAnsi="Arial" w:cs="Arial"/>
          <w:lang w:val="en-GB"/>
        </w:rPr>
        <w:t xml:space="preserve">Branch, G. M., Steffani, C. N. (2004) Can we predict the effects of alien species? A case-history of the invasion of South Africa by </w:t>
      </w:r>
      <w:r w:rsidRPr="00F63CE3">
        <w:rPr>
          <w:rFonts w:ascii="Arial" w:hAnsi="Arial" w:cs="Arial"/>
          <w:i/>
          <w:lang w:val="en-GB"/>
        </w:rPr>
        <w:t>Mytilus galloprovincialis</w:t>
      </w:r>
      <w:r w:rsidRPr="00F63CE3">
        <w:rPr>
          <w:rFonts w:ascii="Arial" w:hAnsi="Arial" w:cs="Arial"/>
          <w:lang w:val="en-GB"/>
        </w:rPr>
        <w:t xml:space="preserve"> (Lamarck). Journal of Experimental Marine Biology and Ecology, 300: 189-215.</w:t>
      </w:r>
    </w:p>
    <w:p w:rsidR="00AE6339" w:rsidRPr="00F63CE3" w:rsidRDefault="00AE6339" w:rsidP="00AE6339">
      <w:pPr>
        <w:numPr>
          <w:ilvl w:val="0"/>
          <w:numId w:val="1"/>
        </w:numPr>
        <w:spacing w:line="240" w:lineRule="auto"/>
        <w:contextualSpacing/>
        <w:rPr>
          <w:rFonts w:ascii="Arial" w:hAnsi="Arial" w:cs="Arial"/>
          <w:lang w:val="en-GB"/>
        </w:rPr>
      </w:pPr>
      <w:r w:rsidRPr="00F63CE3">
        <w:rPr>
          <w:rFonts w:ascii="Arial" w:hAnsi="Arial" w:cs="Arial"/>
          <w:bCs/>
          <w:lang w:val="en-GB"/>
        </w:rPr>
        <w:t>Gilbert, B. (2005)</w:t>
      </w:r>
      <w:r w:rsidRPr="00F63CE3">
        <w:rPr>
          <w:rFonts w:ascii="Arial" w:hAnsi="Arial" w:cs="Arial"/>
        </w:rPr>
        <w:t xml:space="preserve"> </w:t>
      </w:r>
      <w:r w:rsidRPr="00F63CE3">
        <w:rPr>
          <w:rFonts w:ascii="Arial" w:hAnsi="Arial" w:cs="Arial"/>
          <w:bCs/>
          <w:lang w:val="en-GB"/>
        </w:rPr>
        <w:t>AQUACULTURE Biology and Ecology of Cultured Species. Taylor &amp; Francis, New York. 422pp.</w:t>
      </w:r>
    </w:p>
    <w:p w:rsidR="00AE6339" w:rsidRPr="00F63CE3" w:rsidRDefault="00AE6339" w:rsidP="00AE6339">
      <w:pPr>
        <w:numPr>
          <w:ilvl w:val="0"/>
          <w:numId w:val="1"/>
        </w:numPr>
        <w:spacing w:line="240" w:lineRule="auto"/>
        <w:contextualSpacing/>
        <w:rPr>
          <w:rFonts w:ascii="Arial" w:hAnsi="Arial" w:cs="Arial"/>
          <w:lang w:val="en-GB"/>
        </w:rPr>
      </w:pPr>
      <w:r w:rsidRPr="00F63CE3">
        <w:rPr>
          <w:rFonts w:ascii="Arial" w:hAnsi="Arial" w:cs="Arial"/>
          <w:lang w:val="en-GB"/>
        </w:rPr>
        <w:t xml:space="preserve">Gosling, E. M. (1992) Systematics and geographic distribution of </w:t>
      </w:r>
      <w:r w:rsidRPr="00F63CE3">
        <w:rPr>
          <w:rFonts w:ascii="Arial" w:hAnsi="Arial" w:cs="Arial"/>
          <w:i/>
          <w:lang w:val="en-GB"/>
        </w:rPr>
        <w:t>Mytilus</w:t>
      </w:r>
      <w:r w:rsidRPr="00F63CE3">
        <w:rPr>
          <w:rFonts w:ascii="Arial" w:hAnsi="Arial" w:cs="Arial"/>
          <w:lang w:val="en-GB"/>
        </w:rPr>
        <w:t>. In The mussel Mytilus: ecology, physiology, genetics and culture, (ed. E.M. Gosling), pp. 1-20. Amsterdam: Elsevier Science Publ. [Developments in Aquaculture and Fisheries Science, no. 25]  </w:t>
      </w:r>
    </w:p>
    <w:p w:rsidR="00AE6339" w:rsidRPr="00F63CE3" w:rsidRDefault="00AE6339" w:rsidP="00AE6339">
      <w:pPr>
        <w:numPr>
          <w:ilvl w:val="0"/>
          <w:numId w:val="1"/>
        </w:numPr>
        <w:spacing w:line="240" w:lineRule="auto"/>
        <w:contextualSpacing/>
        <w:rPr>
          <w:rFonts w:ascii="Arial" w:hAnsi="Arial" w:cs="Arial"/>
          <w:lang w:val="en-GB"/>
        </w:rPr>
      </w:pPr>
      <w:r w:rsidRPr="00F63CE3">
        <w:rPr>
          <w:rFonts w:ascii="Arial" w:hAnsi="Arial" w:cs="Arial"/>
          <w:lang w:val="en-GB"/>
        </w:rPr>
        <w:t>Gosling, E. M. (2003) Bivalve Molluscs. Biology, Ecology and Culture.</w:t>
      </w:r>
      <w:r w:rsidRPr="00F63CE3">
        <w:rPr>
          <w:rFonts w:ascii="Arial" w:hAnsi="Arial" w:cs="Arial"/>
        </w:rPr>
        <w:t xml:space="preserve"> </w:t>
      </w:r>
      <w:r w:rsidRPr="00F63CE3">
        <w:rPr>
          <w:rFonts w:ascii="Arial" w:hAnsi="Arial" w:cs="Arial"/>
          <w:lang w:val="en-GB"/>
        </w:rPr>
        <w:t>Blackwell Publishing, Oxford. 455 pp.</w:t>
      </w:r>
      <w:bookmarkStart w:id="9" w:name="_Hlk511562671"/>
    </w:p>
    <w:p w:rsidR="00AE6339" w:rsidRPr="00F63CE3" w:rsidRDefault="00AE6339" w:rsidP="00AE6339">
      <w:pPr>
        <w:numPr>
          <w:ilvl w:val="0"/>
          <w:numId w:val="1"/>
        </w:numPr>
        <w:spacing w:line="240" w:lineRule="auto"/>
        <w:contextualSpacing/>
        <w:rPr>
          <w:rFonts w:ascii="Arial" w:hAnsi="Arial" w:cs="Arial"/>
          <w:lang w:val="en-GB"/>
        </w:rPr>
      </w:pPr>
      <w:r w:rsidRPr="00F63CE3">
        <w:rPr>
          <w:rFonts w:ascii="Arial" w:hAnsi="Arial" w:cs="Arial"/>
          <w:lang w:val="en-GB"/>
        </w:rPr>
        <w:t xml:space="preserve">Marušić N., Vidaček S., Medić H., Petrak, T. (2010) </w:t>
      </w:r>
      <w:bookmarkEnd w:id="9"/>
      <w:r w:rsidRPr="00F63CE3">
        <w:rPr>
          <w:rFonts w:ascii="Arial" w:hAnsi="Arial" w:cs="Arial"/>
          <w:lang w:val="en-GB"/>
        </w:rPr>
        <w:t>Rast dagnji (</w:t>
      </w:r>
      <w:r w:rsidRPr="00F63CE3">
        <w:rPr>
          <w:rFonts w:ascii="Arial" w:hAnsi="Arial" w:cs="Arial"/>
          <w:i/>
          <w:lang w:val="en-GB"/>
        </w:rPr>
        <w:t>Mytilus galloprovincialis</w:t>
      </w:r>
      <w:r w:rsidRPr="00F63CE3">
        <w:rPr>
          <w:rFonts w:ascii="Arial" w:hAnsi="Arial" w:cs="Arial"/>
          <w:lang w:val="en-GB"/>
        </w:rPr>
        <w:t xml:space="preserve">, Lamarck, 1819) na istočnoj obali Istre. Ribarstvo, 68 (1): 19-25. </w:t>
      </w:r>
      <w:bookmarkStart w:id="10" w:name="_Hlk511562466"/>
    </w:p>
    <w:p w:rsidR="00AE6339" w:rsidRPr="00F63CE3" w:rsidRDefault="00AE6339" w:rsidP="00AE6339">
      <w:pPr>
        <w:numPr>
          <w:ilvl w:val="0"/>
          <w:numId w:val="1"/>
        </w:numPr>
        <w:spacing w:line="240" w:lineRule="auto"/>
        <w:contextualSpacing/>
        <w:rPr>
          <w:rFonts w:ascii="Arial" w:hAnsi="Arial" w:cs="Arial"/>
          <w:lang w:val="en-GB"/>
        </w:rPr>
      </w:pPr>
      <w:r w:rsidRPr="00F63CE3">
        <w:rPr>
          <w:rFonts w:ascii="Arial" w:hAnsi="Arial" w:cs="Arial"/>
          <w:lang w:val="en-GB"/>
        </w:rPr>
        <w:t xml:space="preserve">Milišić, N. (1991) </w:t>
      </w:r>
      <w:bookmarkEnd w:id="10"/>
      <w:r w:rsidRPr="00F63CE3">
        <w:rPr>
          <w:rFonts w:ascii="Arial" w:hAnsi="Arial" w:cs="Arial"/>
          <w:lang w:val="en-GB"/>
        </w:rPr>
        <w:t>Školjke i puževi Jadrana, Logos, Split.</w:t>
      </w:r>
    </w:p>
    <w:p w:rsidR="00AE6339" w:rsidRPr="00F63CE3" w:rsidRDefault="00AE6339" w:rsidP="00AE6339">
      <w:pPr>
        <w:numPr>
          <w:ilvl w:val="0"/>
          <w:numId w:val="1"/>
        </w:numPr>
        <w:spacing w:line="240" w:lineRule="auto"/>
        <w:contextualSpacing/>
        <w:rPr>
          <w:rFonts w:ascii="Arial" w:hAnsi="Arial" w:cs="Arial"/>
        </w:rPr>
      </w:pPr>
      <w:r w:rsidRPr="00F63CE3">
        <w:rPr>
          <w:rFonts w:ascii="Arial" w:hAnsi="Arial" w:cs="Arial"/>
        </w:rPr>
        <w:t>Odžak, N., T. Zvonarić, Z. Kljaković-Gašpić, M. Horvat, A. Barić. (2000) Biomonitoring of mercury in the Kaštela Bay using transplanted mussels. Sci. Total Environ., 261: 61-68.</w:t>
      </w:r>
    </w:p>
    <w:p w:rsidR="00AE6339" w:rsidRPr="00F63CE3" w:rsidRDefault="00AE6339" w:rsidP="00AE6339">
      <w:pPr>
        <w:numPr>
          <w:ilvl w:val="0"/>
          <w:numId w:val="1"/>
        </w:numPr>
        <w:spacing w:line="240" w:lineRule="auto"/>
        <w:contextualSpacing/>
        <w:rPr>
          <w:rFonts w:ascii="Arial" w:hAnsi="Arial" w:cs="Arial"/>
        </w:rPr>
      </w:pPr>
      <w:r w:rsidRPr="00F63CE3">
        <w:rPr>
          <w:rFonts w:ascii="Arial" w:hAnsi="Arial" w:cs="Arial"/>
        </w:rPr>
        <w:t>Pervin, V., Harun Y., Sefa A. (2015) Growth and survival performances of Mediterranean mussel (</w:t>
      </w:r>
      <w:r w:rsidRPr="00F63CE3">
        <w:rPr>
          <w:rFonts w:ascii="Arial" w:hAnsi="Arial" w:cs="Arial"/>
          <w:i/>
        </w:rPr>
        <w:t>Mytilus galloprovincialis</w:t>
      </w:r>
      <w:r w:rsidRPr="00F63CE3">
        <w:rPr>
          <w:rFonts w:ascii="Arial" w:hAnsi="Arial" w:cs="Arial"/>
        </w:rPr>
        <w:t>, Lamarck, 1819) on different depths in Cardak lagoon, Dardanelles. Mar. Sci. Tech. Bull. 4(1):7-12.</w:t>
      </w:r>
    </w:p>
    <w:p w:rsidR="00AE6339" w:rsidRPr="00F63CE3" w:rsidRDefault="00AE6339" w:rsidP="00AE6339">
      <w:pPr>
        <w:numPr>
          <w:ilvl w:val="0"/>
          <w:numId w:val="1"/>
        </w:numPr>
        <w:spacing w:line="240" w:lineRule="auto"/>
        <w:contextualSpacing/>
        <w:rPr>
          <w:rFonts w:ascii="Arial" w:hAnsi="Arial" w:cs="Arial"/>
          <w:b/>
          <w:lang w:val="en-GB"/>
        </w:rPr>
      </w:pPr>
      <w:r w:rsidRPr="00F63CE3">
        <w:rPr>
          <w:rFonts w:ascii="Arial" w:hAnsi="Arial" w:cs="Arial"/>
          <w:lang w:val="en-GB"/>
        </w:rPr>
        <w:t>Picker, M.D., Griffiths, C.L. (2011) Alien and Invasive Animals – A South African Perspective. Struik-Random House Publishers, Cape Town. 240 pp.</w:t>
      </w:r>
    </w:p>
    <w:p w:rsidR="00AE6339" w:rsidRPr="00F63CE3" w:rsidRDefault="00AE6339" w:rsidP="00AE6339">
      <w:pPr>
        <w:numPr>
          <w:ilvl w:val="0"/>
          <w:numId w:val="1"/>
        </w:numPr>
        <w:spacing w:line="240" w:lineRule="auto"/>
        <w:contextualSpacing/>
        <w:rPr>
          <w:rFonts w:ascii="Arial" w:hAnsi="Arial" w:cs="Arial"/>
          <w:lang w:val="en-GB"/>
        </w:rPr>
      </w:pPr>
      <w:r w:rsidRPr="00F63CE3">
        <w:rPr>
          <w:rFonts w:ascii="Arial" w:hAnsi="Arial" w:cs="Arial"/>
          <w:lang w:val="en-GB"/>
        </w:rPr>
        <w:t xml:space="preserve">Rodhouse, P.G., Roden, C.M., Ryan, T.H. (1984) Resource allocation in </w:t>
      </w:r>
      <w:r w:rsidRPr="00F63CE3">
        <w:rPr>
          <w:rFonts w:ascii="Arial" w:hAnsi="Arial" w:cs="Arial"/>
          <w:i/>
          <w:lang w:val="en-GB"/>
        </w:rPr>
        <w:t>Mytilus edulis</w:t>
      </w:r>
      <w:r w:rsidRPr="00F63CE3">
        <w:rPr>
          <w:rFonts w:ascii="Arial" w:hAnsi="Arial" w:cs="Arial"/>
          <w:lang w:val="en-GB"/>
        </w:rPr>
        <w:t xml:space="preserve"> on shore and in suspended culture. Marine Biology, 84: 27-34.</w:t>
      </w:r>
    </w:p>
    <w:p w:rsidR="00AE6339" w:rsidRPr="00F63CE3" w:rsidRDefault="00AE6339" w:rsidP="00AE6339">
      <w:pPr>
        <w:ind w:left="720"/>
        <w:contextualSpacing/>
        <w:rPr>
          <w:rFonts w:ascii="Arial" w:hAnsi="Arial" w:cs="Arial"/>
        </w:rPr>
      </w:pPr>
      <w:r w:rsidRPr="00F63CE3">
        <w:rPr>
          <w:rFonts w:ascii="Arial" w:hAnsi="Arial" w:cs="Arial"/>
        </w:rPr>
        <w:lastRenderedPageBreak/>
        <w:t>Spencer, B.E. (2002) Molluscan Shellfish Farming. Blackwell Science, Oxford. 294 pp</w:t>
      </w:r>
    </w:p>
    <w:p w:rsidR="00AE6339" w:rsidRPr="00F63CE3" w:rsidRDefault="00AE6339" w:rsidP="00AE6339">
      <w:pPr>
        <w:numPr>
          <w:ilvl w:val="0"/>
          <w:numId w:val="1"/>
        </w:numPr>
        <w:spacing w:after="0" w:line="240" w:lineRule="auto"/>
        <w:contextualSpacing/>
        <w:rPr>
          <w:rFonts w:ascii="Arial" w:hAnsi="Arial" w:cs="Arial"/>
        </w:rPr>
      </w:pPr>
      <w:r w:rsidRPr="00F63CE3">
        <w:rPr>
          <w:rFonts w:ascii="Arial" w:hAnsi="Arial" w:cs="Arial"/>
        </w:rPr>
        <w:t>Župan, I. (2006) Utjecaj blizine kaveznog uzgoja riba na prirast i indeks kondicije dagnji (</w:t>
      </w:r>
      <w:r w:rsidRPr="00F63CE3">
        <w:rPr>
          <w:rFonts w:ascii="Arial" w:hAnsi="Arial" w:cs="Arial"/>
          <w:i/>
        </w:rPr>
        <w:t>Gytilus galloprovincialis</w:t>
      </w:r>
      <w:r w:rsidRPr="00F63CE3">
        <w:rPr>
          <w:rFonts w:ascii="Arial" w:hAnsi="Arial" w:cs="Arial"/>
        </w:rPr>
        <w:t>). Diplomski rad. Zagreb.</w:t>
      </w:r>
    </w:p>
    <w:p w:rsidR="00AE6339" w:rsidRPr="00F63CE3" w:rsidRDefault="00AE6339" w:rsidP="00AE6339">
      <w:pPr>
        <w:numPr>
          <w:ilvl w:val="0"/>
          <w:numId w:val="1"/>
        </w:numPr>
        <w:contextualSpacing/>
        <w:rPr>
          <w:rFonts w:ascii="Arial" w:hAnsi="Arial" w:cs="Arial"/>
        </w:rPr>
      </w:pPr>
      <w:r w:rsidRPr="00F63CE3">
        <w:rPr>
          <w:rFonts w:ascii="Arial" w:hAnsi="Arial" w:cs="Arial"/>
        </w:rPr>
        <w:t xml:space="preserve">Župan, I., Šarić, T. (2014) Prirast i indeks kondicije dva važna čimbenika u uzgoju dagnji. Stručni rad. (Online). Naše more, 51 (1-2): 6–11. Dostupno na: </w:t>
      </w:r>
      <w:hyperlink r:id="rId16" w:history="1">
        <w:r w:rsidRPr="00F63CE3">
          <w:rPr>
            <w:rFonts w:ascii="Arial" w:hAnsi="Arial" w:cs="Arial"/>
            <w:color w:val="0000FF" w:themeColor="hyperlink"/>
            <w:u w:val="single"/>
          </w:rPr>
          <w:t>http://hrcak.srce.hr</w:t>
        </w:r>
      </w:hyperlink>
      <w:r w:rsidRPr="00F63CE3">
        <w:rPr>
          <w:rFonts w:ascii="Arial" w:hAnsi="Arial" w:cs="Arial"/>
        </w:rPr>
        <w:t>.</w:t>
      </w:r>
    </w:p>
    <w:p w:rsidR="00CF6D15" w:rsidRPr="00F63CE3" w:rsidRDefault="00CF6D15">
      <w:pPr>
        <w:rPr>
          <w:rFonts w:ascii="Arial" w:hAnsi="Arial" w:cs="Arial"/>
        </w:rPr>
      </w:pPr>
    </w:p>
    <w:sectPr w:rsidR="00CF6D15" w:rsidRPr="00F63CE3">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F7C" w:rsidRDefault="00CF2F7C" w:rsidP="00E4471A">
      <w:pPr>
        <w:spacing w:after="0" w:line="240" w:lineRule="auto"/>
      </w:pPr>
      <w:r>
        <w:separator/>
      </w:r>
    </w:p>
  </w:endnote>
  <w:endnote w:type="continuationSeparator" w:id="0">
    <w:p w:rsidR="00CF2F7C" w:rsidRDefault="00CF2F7C" w:rsidP="00E4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445281"/>
      <w:docPartObj>
        <w:docPartGallery w:val="Page Numbers (Bottom of Page)"/>
        <w:docPartUnique/>
      </w:docPartObj>
    </w:sdtPr>
    <w:sdtEndPr/>
    <w:sdtContent>
      <w:p w:rsidR="00E4471A" w:rsidRDefault="00E4471A">
        <w:pPr>
          <w:pStyle w:val="Footer"/>
          <w:jc w:val="right"/>
        </w:pPr>
        <w:r>
          <w:fldChar w:fldCharType="begin"/>
        </w:r>
        <w:r>
          <w:instrText>PAGE   \* MERGEFORMAT</w:instrText>
        </w:r>
        <w:r>
          <w:fldChar w:fldCharType="separate"/>
        </w:r>
        <w:r w:rsidR="00FE3812" w:rsidRPr="00FE3812">
          <w:rPr>
            <w:noProof/>
            <w:lang w:val="hr-HR"/>
          </w:rPr>
          <w:t>10</w:t>
        </w:r>
        <w:r>
          <w:fldChar w:fldCharType="end"/>
        </w:r>
      </w:p>
    </w:sdtContent>
  </w:sdt>
  <w:p w:rsidR="00E4471A" w:rsidRDefault="00E44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F7C" w:rsidRDefault="00CF2F7C" w:rsidP="00E4471A">
      <w:pPr>
        <w:spacing w:after="0" w:line="240" w:lineRule="auto"/>
      </w:pPr>
      <w:r>
        <w:separator/>
      </w:r>
    </w:p>
  </w:footnote>
  <w:footnote w:type="continuationSeparator" w:id="0">
    <w:p w:rsidR="00CF2F7C" w:rsidRDefault="00CF2F7C" w:rsidP="00E44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26A51"/>
    <w:multiLevelType w:val="hybridMultilevel"/>
    <w:tmpl w:val="89340A7E"/>
    <w:lvl w:ilvl="0" w:tplc="08724BF2">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39"/>
    <w:rsid w:val="000326C2"/>
    <w:rsid w:val="000A49A2"/>
    <w:rsid w:val="000D1FBE"/>
    <w:rsid w:val="000F6510"/>
    <w:rsid w:val="001050E2"/>
    <w:rsid w:val="0018094C"/>
    <w:rsid w:val="001827AF"/>
    <w:rsid w:val="00191EEE"/>
    <w:rsid w:val="00194520"/>
    <w:rsid w:val="0019564C"/>
    <w:rsid w:val="001A2AB2"/>
    <w:rsid w:val="001A5503"/>
    <w:rsid w:val="001C06C3"/>
    <w:rsid w:val="001C7AFC"/>
    <w:rsid w:val="001E0A98"/>
    <w:rsid w:val="001F02DC"/>
    <w:rsid w:val="00203618"/>
    <w:rsid w:val="00205143"/>
    <w:rsid w:val="00227B9C"/>
    <w:rsid w:val="00236DAC"/>
    <w:rsid w:val="0025050E"/>
    <w:rsid w:val="00270637"/>
    <w:rsid w:val="0028423E"/>
    <w:rsid w:val="00291BFD"/>
    <w:rsid w:val="00294F5B"/>
    <w:rsid w:val="002973E9"/>
    <w:rsid w:val="00297BB6"/>
    <w:rsid w:val="002A3F78"/>
    <w:rsid w:val="002D5E5F"/>
    <w:rsid w:val="002E01A3"/>
    <w:rsid w:val="00310914"/>
    <w:rsid w:val="00313A73"/>
    <w:rsid w:val="0039232A"/>
    <w:rsid w:val="003B1321"/>
    <w:rsid w:val="003B184A"/>
    <w:rsid w:val="003B7E98"/>
    <w:rsid w:val="003E5EBF"/>
    <w:rsid w:val="003F4488"/>
    <w:rsid w:val="00400FFE"/>
    <w:rsid w:val="00431CD8"/>
    <w:rsid w:val="00441069"/>
    <w:rsid w:val="0045217C"/>
    <w:rsid w:val="004910D0"/>
    <w:rsid w:val="004B01B6"/>
    <w:rsid w:val="00507E4A"/>
    <w:rsid w:val="00521F93"/>
    <w:rsid w:val="00540242"/>
    <w:rsid w:val="005557D2"/>
    <w:rsid w:val="00564874"/>
    <w:rsid w:val="005702B8"/>
    <w:rsid w:val="005A5C06"/>
    <w:rsid w:val="005C26E2"/>
    <w:rsid w:val="005C5CCD"/>
    <w:rsid w:val="005E3576"/>
    <w:rsid w:val="006263B4"/>
    <w:rsid w:val="00660AB4"/>
    <w:rsid w:val="00662F26"/>
    <w:rsid w:val="006A7E55"/>
    <w:rsid w:val="006F0C57"/>
    <w:rsid w:val="006F7435"/>
    <w:rsid w:val="00714F22"/>
    <w:rsid w:val="007733B0"/>
    <w:rsid w:val="007A0FB8"/>
    <w:rsid w:val="007A34D2"/>
    <w:rsid w:val="00832CF4"/>
    <w:rsid w:val="00835F52"/>
    <w:rsid w:val="00837688"/>
    <w:rsid w:val="008376F8"/>
    <w:rsid w:val="00852A83"/>
    <w:rsid w:val="00853A7D"/>
    <w:rsid w:val="00863B8A"/>
    <w:rsid w:val="00871CD0"/>
    <w:rsid w:val="008B1643"/>
    <w:rsid w:val="008B31BB"/>
    <w:rsid w:val="008B372E"/>
    <w:rsid w:val="008D780B"/>
    <w:rsid w:val="008E272D"/>
    <w:rsid w:val="008E5E98"/>
    <w:rsid w:val="008F7453"/>
    <w:rsid w:val="00977D57"/>
    <w:rsid w:val="00981BEE"/>
    <w:rsid w:val="0099006D"/>
    <w:rsid w:val="009927BF"/>
    <w:rsid w:val="009B483F"/>
    <w:rsid w:val="009C29E7"/>
    <w:rsid w:val="00A01AE5"/>
    <w:rsid w:val="00A20B48"/>
    <w:rsid w:val="00A33C60"/>
    <w:rsid w:val="00A45B44"/>
    <w:rsid w:val="00A5358D"/>
    <w:rsid w:val="00A66158"/>
    <w:rsid w:val="00A719EC"/>
    <w:rsid w:val="00A87181"/>
    <w:rsid w:val="00AC6A9F"/>
    <w:rsid w:val="00AE6339"/>
    <w:rsid w:val="00B14045"/>
    <w:rsid w:val="00B179E0"/>
    <w:rsid w:val="00B465C2"/>
    <w:rsid w:val="00C3466C"/>
    <w:rsid w:val="00C4271C"/>
    <w:rsid w:val="00C633E1"/>
    <w:rsid w:val="00CB49A8"/>
    <w:rsid w:val="00CB5176"/>
    <w:rsid w:val="00CF2F7C"/>
    <w:rsid w:val="00CF6D15"/>
    <w:rsid w:val="00D042B0"/>
    <w:rsid w:val="00DC162D"/>
    <w:rsid w:val="00DD61F8"/>
    <w:rsid w:val="00E03922"/>
    <w:rsid w:val="00E4471A"/>
    <w:rsid w:val="00E870D2"/>
    <w:rsid w:val="00EB5B4C"/>
    <w:rsid w:val="00ED5EA5"/>
    <w:rsid w:val="00ED66DD"/>
    <w:rsid w:val="00EE24CA"/>
    <w:rsid w:val="00F21C3B"/>
    <w:rsid w:val="00F2291F"/>
    <w:rsid w:val="00F54C09"/>
    <w:rsid w:val="00F63CE3"/>
    <w:rsid w:val="00F71719"/>
    <w:rsid w:val="00F843E0"/>
    <w:rsid w:val="00FE3812"/>
    <w:rsid w:val="00FF3060"/>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AE6339"/>
    <w:pPr>
      <w:spacing w:after="0" w:line="240" w:lineRule="auto"/>
    </w:pPr>
    <w:rPr>
      <w:i/>
      <w:iCs/>
    </w:rPr>
  </w:style>
  <w:style w:type="character" w:customStyle="1" w:styleId="HTMLAddressChar">
    <w:name w:val="HTML Address Char"/>
    <w:basedOn w:val="DefaultParagraphFont"/>
    <w:link w:val="HTMLAddress"/>
    <w:uiPriority w:val="99"/>
    <w:semiHidden/>
    <w:rsid w:val="00AE6339"/>
    <w:rPr>
      <w:i/>
      <w:iCs/>
    </w:rPr>
  </w:style>
  <w:style w:type="character" w:styleId="CommentReference">
    <w:name w:val="annotation reference"/>
    <w:basedOn w:val="DefaultParagraphFont"/>
    <w:uiPriority w:val="99"/>
    <w:semiHidden/>
    <w:unhideWhenUsed/>
    <w:rsid w:val="00AE6339"/>
    <w:rPr>
      <w:sz w:val="16"/>
      <w:szCs w:val="16"/>
    </w:rPr>
  </w:style>
  <w:style w:type="paragraph" w:styleId="CommentText">
    <w:name w:val="annotation text"/>
    <w:basedOn w:val="Normal"/>
    <w:link w:val="CommentTextChar"/>
    <w:semiHidden/>
    <w:unhideWhenUsed/>
    <w:rsid w:val="00AE6339"/>
    <w:pPr>
      <w:spacing w:line="240" w:lineRule="auto"/>
    </w:pPr>
    <w:rPr>
      <w:sz w:val="20"/>
      <w:szCs w:val="20"/>
    </w:rPr>
  </w:style>
  <w:style w:type="character" w:customStyle="1" w:styleId="CommentTextChar">
    <w:name w:val="Comment Text Char"/>
    <w:basedOn w:val="DefaultParagraphFont"/>
    <w:link w:val="CommentText"/>
    <w:semiHidden/>
    <w:rsid w:val="00AE6339"/>
    <w:rPr>
      <w:sz w:val="20"/>
      <w:szCs w:val="20"/>
    </w:rPr>
  </w:style>
  <w:style w:type="paragraph" w:styleId="BalloonText">
    <w:name w:val="Balloon Text"/>
    <w:basedOn w:val="Normal"/>
    <w:link w:val="BalloonTextChar"/>
    <w:uiPriority w:val="99"/>
    <w:semiHidden/>
    <w:unhideWhenUsed/>
    <w:rsid w:val="00AE6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39"/>
    <w:rPr>
      <w:rFonts w:ascii="Tahoma" w:hAnsi="Tahoma" w:cs="Tahoma"/>
      <w:sz w:val="16"/>
      <w:szCs w:val="16"/>
    </w:rPr>
  </w:style>
  <w:style w:type="table" w:customStyle="1" w:styleId="GridTable3Accent1">
    <w:name w:val="Grid Table 3 Accent 1"/>
    <w:basedOn w:val="TableNormal"/>
    <w:uiPriority w:val="48"/>
    <w:rsid w:val="00E4471A"/>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Header">
    <w:name w:val="header"/>
    <w:basedOn w:val="Normal"/>
    <w:link w:val="HeaderChar"/>
    <w:uiPriority w:val="99"/>
    <w:unhideWhenUsed/>
    <w:rsid w:val="00E447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471A"/>
  </w:style>
  <w:style w:type="paragraph" w:styleId="Footer">
    <w:name w:val="footer"/>
    <w:basedOn w:val="Normal"/>
    <w:link w:val="FooterChar"/>
    <w:uiPriority w:val="99"/>
    <w:unhideWhenUsed/>
    <w:rsid w:val="00E447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471A"/>
  </w:style>
  <w:style w:type="table" w:customStyle="1" w:styleId="ListTable1LightAccent1">
    <w:name w:val="List Table 1 Light Accent 1"/>
    <w:basedOn w:val="TableNormal"/>
    <w:uiPriority w:val="46"/>
    <w:rsid w:val="008B16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
    <w:name w:val="Grid Table 2 Accent 1"/>
    <w:basedOn w:val="TableNormal"/>
    <w:uiPriority w:val="47"/>
    <w:rsid w:val="00F7171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
    <w:name w:val="Grid Table 7 Colorful Accent 1"/>
    <w:basedOn w:val="TableNormal"/>
    <w:uiPriority w:val="52"/>
    <w:rsid w:val="005E3576"/>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AE6339"/>
    <w:pPr>
      <w:spacing w:after="0" w:line="240" w:lineRule="auto"/>
    </w:pPr>
    <w:rPr>
      <w:i/>
      <w:iCs/>
    </w:rPr>
  </w:style>
  <w:style w:type="character" w:customStyle="1" w:styleId="HTMLAddressChar">
    <w:name w:val="HTML Address Char"/>
    <w:basedOn w:val="DefaultParagraphFont"/>
    <w:link w:val="HTMLAddress"/>
    <w:uiPriority w:val="99"/>
    <w:semiHidden/>
    <w:rsid w:val="00AE6339"/>
    <w:rPr>
      <w:i/>
      <w:iCs/>
    </w:rPr>
  </w:style>
  <w:style w:type="character" w:styleId="CommentReference">
    <w:name w:val="annotation reference"/>
    <w:basedOn w:val="DefaultParagraphFont"/>
    <w:uiPriority w:val="99"/>
    <w:semiHidden/>
    <w:unhideWhenUsed/>
    <w:rsid w:val="00AE6339"/>
    <w:rPr>
      <w:sz w:val="16"/>
      <w:szCs w:val="16"/>
    </w:rPr>
  </w:style>
  <w:style w:type="paragraph" w:styleId="CommentText">
    <w:name w:val="annotation text"/>
    <w:basedOn w:val="Normal"/>
    <w:link w:val="CommentTextChar"/>
    <w:semiHidden/>
    <w:unhideWhenUsed/>
    <w:rsid w:val="00AE6339"/>
    <w:pPr>
      <w:spacing w:line="240" w:lineRule="auto"/>
    </w:pPr>
    <w:rPr>
      <w:sz w:val="20"/>
      <w:szCs w:val="20"/>
    </w:rPr>
  </w:style>
  <w:style w:type="character" w:customStyle="1" w:styleId="CommentTextChar">
    <w:name w:val="Comment Text Char"/>
    <w:basedOn w:val="DefaultParagraphFont"/>
    <w:link w:val="CommentText"/>
    <w:semiHidden/>
    <w:rsid w:val="00AE6339"/>
    <w:rPr>
      <w:sz w:val="20"/>
      <w:szCs w:val="20"/>
    </w:rPr>
  </w:style>
  <w:style w:type="paragraph" w:styleId="BalloonText">
    <w:name w:val="Balloon Text"/>
    <w:basedOn w:val="Normal"/>
    <w:link w:val="BalloonTextChar"/>
    <w:uiPriority w:val="99"/>
    <w:semiHidden/>
    <w:unhideWhenUsed/>
    <w:rsid w:val="00AE6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39"/>
    <w:rPr>
      <w:rFonts w:ascii="Tahoma" w:hAnsi="Tahoma" w:cs="Tahoma"/>
      <w:sz w:val="16"/>
      <w:szCs w:val="16"/>
    </w:rPr>
  </w:style>
  <w:style w:type="table" w:customStyle="1" w:styleId="GridTable3Accent1">
    <w:name w:val="Grid Table 3 Accent 1"/>
    <w:basedOn w:val="TableNormal"/>
    <w:uiPriority w:val="48"/>
    <w:rsid w:val="00E4471A"/>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Header">
    <w:name w:val="header"/>
    <w:basedOn w:val="Normal"/>
    <w:link w:val="HeaderChar"/>
    <w:uiPriority w:val="99"/>
    <w:unhideWhenUsed/>
    <w:rsid w:val="00E447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471A"/>
  </w:style>
  <w:style w:type="paragraph" w:styleId="Footer">
    <w:name w:val="footer"/>
    <w:basedOn w:val="Normal"/>
    <w:link w:val="FooterChar"/>
    <w:uiPriority w:val="99"/>
    <w:unhideWhenUsed/>
    <w:rsid w:val="00E447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471A"/>
  </w:style>
  <w:style w:type="table" w:customStyle="1" w:styleId="ListTable1LightAccent1">
    <w:name w:val="List Table 1 Light Accent 1"/>
    <w:basedOn w:val="TableNormal"/>
    <w:uiPriority w:val="46"/>
    <w:rsid w:val="008B16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
    <w:name w:val="Grid Table 2 Accent 1"/>
    <w:basedOn w:val="TableNormal"/>
    <w:uiPriority w:val="47"/>
    <w:rsid w:val="00F7171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
    <w:name w:val="Grid Table 7 Colorful Accent 1"/>
    <w:basedOn w:val="TableNormal"/>
    <w:uiPriority w:val="52"/>
    <w:rsid w:val="005E3576"/>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hrcak.srce.h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3527</Words>
  <Characters>20104</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2019-01-09T08:20:00Z</dcterms:created>
  <dcterms:modified xsi:type="dcterms:W3CDTF">2019-01-09T08:20:00Z</dcterms:modified>
</cp:coreProperties>
</file>