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614317" w:rsidRDefault="00614317">
      <w:pPr>
        <w:ind w:left="-90" w:right="-180"/>
        <w:rPr>
          <w:rFonts w:ascii="Arial" w:eastAsia="Arial" w:hAnsi="Arial" w:cs="Arial"/>
          <w:b/>
          <w:sz w:val="2"/>
          <w:szCs w:val="2"/>
        </w:rPr>
      </w:pPr>
    </w:p>
    <w:tbl>
      <w:tblPr>
        <w:tblStyle w:val="a3"/>
        <w:tblW w:w="100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590"/>
        <w:gridCol w:w="5490"/>
      </w:tblGrid>
      <w:tr w:rsidR="00614317" w14:paraId="017C8462" w14:textId="77777777">
        <w:trPr>
          <w:trHeight w:val="7327"/>
          <w:jc w:val="center"/>
        </w:trPr>
        <w:tc>
          <w:tcPr>
            <w:tcW w:w="4590" w:type="dxa"/>
            <w:tcBorders>
              <w:bottom w:val="single" w:sz="12" w:space="0" w:color="000000"/>
            </w:tcBorders>
            <w:shd w:val="clear" w:color="auto" w:fill="auto"/>
            <w:tcMar>
              <w:top w:w="100" w:type="dxa"/>
              <w:left w:w="100" w:type="dxa"/>
              <w:bottom w:w="100" w:type="dxa"/>
              <w:right w:w="100" w:type="dxa"/>
            </w:tcMar>
          </w:tcPr>
          <w:p w14:paraId="00000002" w14:textId="77777777" w:rsidR="00614317" w:rsidRDefault="00AE450E">
            <w:pPr>
              <w:rPr>
                <w:rFonts w:ascii="Arial" w:eastAsia="Arial" w:hAnsi="Arial" w:cs="Arial"/>
                <w:b/>
                <w:sz w:val="22"/>
                <w:szCs w:val="22"/>
              </w:rPr>
            </w:pPr>
            <w:r>
              <w:rPr>
                <w:rFonts w:ascii="Arial" w:eastAsia="Arial" w:hAnsi="Arial" w:cs="Arial"/>
                <w:b/>
              </w:rPr>
              <w:t>How to participate</w:t>
            </w:r>
            <w:r>
              <w:rPr>
                <w:rFonts w:ascii="Arial" w:eastAsia="Arial" w:hAnsi="Arial" w:cs="Arial"/>
                <w:b/>
                <w:sz w:val="22"/>
                <w:szCs w:val="22"/>
              </w:rPr>
              <w:t>:</w:t>
            </w:r>
            <w:r>
              <w:rPr>
                <w:noProof/>
              </w:rPr>
              <w:drawing>
                <wp:anchor distT="0" distB="91440" distL="91440" distR="91440" simplePos="0" relativeHeight="251658240" behindDoc="0" locked="0" layoutInCell="1" hidden="0" allowOverlap="1">
                  <wp:simplePos x="0" y="0"/>
                  <wp:positionH relativeFrom="column">
                    <wp:posOffset>24766</wp:posOffset>
                  </wp:positionH>
                  <wp:positionV relativeFrom="paragraph">
                    <wp:posOffset>-9524</wp:posOffset>
                  </wp:positionV>
                  <wp:extent cx="2662238" cy="2715270"/>
                  <wp:effectExtent l="0" t="0" r="0" b="0"/>
                  <wp:wrapSquare wrapText="bothSides" distT="0" distB="91440" distL="91440" distR="9144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662238" cy="2715270"/>
                          </a:xfrm>
                          <a:prstGeom prst="rect">
                            <a:avLst/>
                          </a:prstGeom>
                          <a:ln/>
                        </pic:spPr>
                      </pic:pic>
                    </a:graphicData>
                  </a:graphic>
                </wp:anchor>
              </w:drawing>
            </w:r>
          </w:p>
          <w:p w14:paraId="00000003" w14:textId="09924C77" w:rsidR="00614317" w:rsidRDefault="00D90C6D">
            <w:pPr>
              <w:numPr>
                <w:ilvl w:val="0"/>
                <w:numId w:val="1"/>
              </w:numPr>
              <w:spacing w:before="200" w:after="200"/>
              <w:ind w:right="-120"/>
              <w:rPr>
                <w:sz w:val="22"/>
                <w:szCs w:val="22"/>
              </w:rPr>
            </w:pPr>
            <w:hyperlink r:id="rId9">
              <w:r w:rsidR="00AE450E">
                <w:rPr>
                  <w:rFonts w:ascii="Arial" w:eastAsia="Arial" w:hAnsi="Arial" w:cs="Arial"/>
                  <w:color w:val="1155CC"/>
                  <w:sz w:val="22"/>
                  <w:szCs w:val="22"/>
                  <w:u w:val="single"/>
                </w:rPr>
                <w:t>Download</w:t>
              </w:r>
            </w:hyperlink>
            <w:r w:rsidR="00AE450E">
              <w:rPr>
                <w:rFonts w:ascii="Arial" w:eastAsia="Arial" w:hAnsi="Arial" w:cs="Arial"/>
                <w:sz w:val="22"/>
                <w:szCs w:val="22"/>
              </w:rPr>
              <w:t xml:space="preserve"> the GLOBE Observer app</w:t>
            </w:r>
            <w:r w:rsidR="009F4E3C">
              <w:rPr>
                <w:rFonts w:ascii="Arial" w:eastAsia="Arial" w:hAnsi="Arial" w:cs="Arial"/>
                <w:sz w:val="22"/>
                <w:szCs w:val="22"/>
              </w:rPr>
              <w:t xml:space="preserve"> and register</w:t>
            </w:r>
            <w:r w:rsidR="00AE450E">
              <w:rPr>
                <w:rFonts w:ascii="Arial" w:eastAsia="Arial" w:hAnsi="Arial" w:cs="Arial"/>
                <w:sz w:val="22"/>
                <w:szCs w:val="22"/>
              </w:rPr>
              <w:t>.</w:t>
            </w:r>
          </w:p>
          <w:p w14:paraId="00000004" w14:textId="77777777" w:rsidR="00614317" w:rsidRDefault="00AE450E">
            <w:pPr>
              <w:numPr>
                <w:ilvl w:val="0"/>
                <w:numId w:val="1"/>
              </w:numPr>
              <w:spacing w:before="200" w:after="200"/>
              <w:ind w:right="-120"/>
              <w:rPr>
                <w:sz w:val="22"/>
                <w:szCs w:val="22"/>
              </w:rPr>
            </w:pPr>
            <w:r>
              <w:rPr>
                <w:rFonts w:ascii="Arial" w:eastAsia="Arial" w:hAnsi="Arial" w:cs="Arial"/>
                <w:sz w:val="22"/>
                <w:szCs w:val="22"/>
              </w:rPr>
              <w:t xml:space="preserve">Take photos of mosquito larvae and mosquito habitats using the Mosquito Habitat Mapper tool. </w:t>
            </w:r>
          </w:p>
          <w:p w14:paraId="00000005" w14:textId="77777777" w:rsidR="00614317" w:rsidRDefault="00AE450E">
            <w:pPr>
              <w:numPr>
                <w:ilvl w:val="0"/>
                <w:numId w:val="1"/>
              </w:numPr>
              <w:spacing w:before="200" w:after="200"/>
              <w:ind w:right="-120"/>
              <w:rPr>
                <w:sz w:val="22"/>
                <w:szCs w:val="22"/>
              </w:rPr>
            </w:pPr>
            <w:r>
              <w:rPr>
                <w:rFonts w:ascii="Arial" w:eastAsia="Arial" w:hAnsi="Arial" w:cs="Arial"/>
                <w:sz w:val="22"/>
                <w:szCs w:val="22"/>
              </w:rPr>
              <w:t>Take photos of the same location using the Land Cover tool.</w:t>
            </w:r>
          </w:p>
        </w:tc>
        <w:tc>
          <w:tcPr>
            <w:tcW w:w="5490" w:type="dxa"/>
            <w:tcBorders>
              <w:bottom w:val="single" w:sz="12" w:space="0" w:color="000000"/>
            </w:tcBorders>
            <w:shd w:val="clear" w:color="auto" w:fill="auto"/>
            <w:tcMar>
              <w:top w:w="100" w:type="dxa"/>
              <w:left w:w="100" w:type="dxa"/>
              <w:bottom w:w="100" w:type="dxa"/>
              <w:right w:w="100" w:type="dxa"/>
            </w:tcMar>
          </w:tcPr>
          <w:p w14:paraId="00000006" w14:textId="77777777" w:rsidR="00614317" w:rsidRDefault="00AE450E">
            <w:pPr>
              <w:widowControl w:val="0"/>
              <w:ind w:right="-120"/>
              <w:jc w:val="center"/>
              <w:rPr>
                <w:rFonts w:ascii="Arial" w:eastAsia="Arial" w:hAnsi="Arial" w:cs="Arial"/>
                <w:b/>
                <w:sz w:val="28"/>
                <w:szCs w:val="28"/>
              </w:rPr>
            </w:pPr>
            <w:r>
              <w:rPr>
                <w:rFonts w:ascii="Arial" w:eastAsia="Arial" w:hAnsi="Arial" w:cs="Arial"/>
                <w:b/>
                <w:sz w:val="28"/>
                <w:szCs w:val="28"/>
              </w:rPr>
              <w:t>Mosquito Habitat Photo Challenge</w:t>
            </w:r>
          </w:p>
          <w:p w14:paraId="00000007" w14:textId="77777777" w:rsidR="00614317" w:rsidRDefault="00AE450E">
            <w:pPr>
              <w:widowControl w:val="0"/>
              <w:ind w:right="-120"/>
              <w:jc w:val="center"/>
              <w:rPr>
                <w:rFonts w:ascii="Arial" w:eastAsia="Arial" w:hAnsi="Arial" w:cs="Arial"/>
                <w:b/>
              </w:rPr>
            </w:pPr>
            <w:r>
              <w:rPr>
                <w:rFonts w:ascii="Arial" w:eastAsia="Arial" w:hAnsi="Arial" w:cs="Arial"/>
                <w:b/>
              </w:rPr>
              <w:t>July 25 - August 25, 2021</w:t>
            </w:r>
          </w:p>
          <w:p w14:paraId="00000008" w14:textId="77777777" w:rsidR="00614317" w:rsidRDefault="00D90C6D">
            <w:pPr>
              <w:ind w:right="-120"/>
              <w:jc w:val="center"/>
              <w:rPr>
                <w:rFonts w:ascii="Arial" w:eastAsia="Arial" w:hAnsi="Arial" w:cs="Arial"/>
              </w:rPr>
            </w:pPr>
            <w:hyperlink r:id="rId10">
              <w:r w:rsidR="00AE450E">
                <w:rPr>
                  <w:rFonts w:ascii="Arial" w:eastAsia="Arial" w:hAnsi="Arial" w:cs="Arial"/>
                </w:rPr>
                <w:t>https://observer.globe.gov/mosquito-challenge</w:t>
              </w:r>
            </w:hyperlink>
          </w:p>
          <w:p w14:paraId="00000009" w14:textId="77777777" w:rsidR="00614317" w:rsidRDefault="00614317">
            <w:pPr>
              <w:ind w:right="-120"/>
              <w:rPr>
                <w:rFonts w:ascii="Arial" w:eastAsia="Arial" w:hAnsi="Arial" w:cs="Arial"/>
                <w:b/>
                <w:i/>
                <w:sz w:val="22"/>
                <w:szCs w:val="22"/>
              </w:rPr>
            </w:pPr>
          </w:p>
          <w:p w14:paraId="0000000A" w14:textId="199EB6CA" w:rsidR="00614317" w:rsidRDefault="00AE450E">
            <w:pPr>
              <w:ind w:right="-120"/>
              <w:jc w:val="center"/>
              <w:rPr>
                <w:rFonts w:ascii="Arial" w:eastAsia="Arial" w:hAnsi="Arial" w:cs="Arial"/>
                <w:b/>
                <w:i/>
                <w:sz w:val="22"/>
                <w:szCs w:val="22"/>
              </w:rPr>
            </w:pPr>
            <w:r>
              <w:rPr>
                <w:rFonts w:ascii="Arial" w:eastAsia="Arial" w:hAnsi="Arial" w:cs="Arial"/>
                <w:b/>
                <w:i/>
              </w:rPr>
              <w:t xml:space="preserve">Scientists need your photos of mosquito larvae and land cover to help prevent mosquito-borne diseases. </w:t>
            </w:r>
            <w:r>
              <w:rPr>
                <w:rFonts w:ascii="Arial" w:eastAsia="Arial" w:hAnsi="Arial" w:cs="Arial"/>
                <w:b/>
                <w:i/>
                <w:sz w:val="22"/>
                <w:szCs w:val="22"/>
              </w:rPr>
              <w:t xml:space="preserve"> </w:t>
            </w:r>
          </w:p>
          <w:p w14:paraId="0000000B" w14:textId="77777777" w:rsidR="00614317" w:rsidRDefault="00614317">
            <w:pPr>
              <w:ind w:right="-120"/>
              <w:rPr>
                <w:rFonts w:ascii="Arial" w:eastAsia="Arial" w:hAnsi="Arial" w:cs="Arial"/>
                <w:b/>
                <w:i/>
                <w:sz w:val="22"/>
                <w:szCs w:val="22"/>
              </w:rPr>
            </w:pPr>
          </w:p>
          <w:p w14:paraId="0000000C" w14:textId="429F91BD" w:rsidR="00614317" w:rsidRDefault="00AE450E">
            <w:pPr>
              <w:ind w:right="-120"/>
              <w:rPr>
                <w:rFonts w:ascii="Arial" w:eastAsia="Arial" w:hAnsi="Arial" w:cs="Arial"/>
                <w:sz w:val="22"/>
                <w:szCs w:val="22"/>
              </w:rPr>
            </w:pPr>
            <w:r>
              <w:rPr>
                <w:rFonts w:ascii="Arial" w:eastAsia="Arial" w:hAnsi="Arial" w:cs="Arial"/>
                <w:sz w:val="22"/>
                <w:szCs w:val="22"/>
              </w:rPr>
              <w:t xml:space="preserve">The Global Learning and Observations to Benefit the Environment (GLOBE) Program </w:t>
            </w:r>
            <w:r w:rsidR="009F4E3C">
              <w:rPr>
                <w:rFonts w:ascii="Arial" w:eastAsia="Arial" w:hAnsi="Arial" w:cs="Arial"/>
                <w:sz w:val="22"/>
                <w:szCs w:val="22"/>
              </w:rPr>
              <w:t xml:space="preserve">invites </w:t>
            </w:r>
            <w:r>
              <w:rPr>
                <w:rFonts w:ascii="Arial" w:eastAsia="Arial" w:hAnsi="Arial" w:cs="Arial"/>
                <w:sz w:val="22"/>
                <w:szCs w:val="22"/>
              </w:rPr>
              <w:t>citizen scientists from around the world to participate in the Mosquito Habitat Photo Challenge. This challenge combines Mosquito Habitat Mapper and Land Cover (two GLOBE Observer app tools) to document mosquito breeding habitats with photos.</w:t>
            </w:r>
          </w:p>
          <w:p w14:paraId="0000000D" w14:textId="77777777" w:rsidR="00614317" w:rsidRDefault="00614317">
            <w:pPr>
              <w:ind w:right="-120"/>
              <w:rPr>
                <w:rFonts w:ascii="Arial" w:eastAsia="Arial" w:hAnsi="Arial" w:cs="Arial"/>
                <w:sz w:val="22"/>
                <w:szCs w:val="22"/>
              </w:rPr>
            </w:pPr>
          </w:p>
          <w:p w14:paraId="0000000E" w14:textId="415480F2" w:rsidR="00614317" w:rsidRDefault="00AE450E">
            <w:pPr>
              <w:ind w:right="-120"/>
              <w:rPr>
                <w:rFonts w:ascii="Arial" w:eastAsia="Arial" w:hAnsi="Arial" w:cs="Arial"/>
                <w:sz w:val="22"/>
                <w:szCs w:val="22"/>
              </w:rPr>
            </w:pPr>
            <w:r>
              <w:rPr>
                <w:rFonts w:ascii="Arial" w:eastAsia="Arial" w:hAnsi="Arial" w:cs="Arial"/>
                <w:sz w:val="22"/>
                <w:szCs w:val="22"/>
              </w:rPr>
              <w:t>GLOBE would like you to take photos of mosquito habitats, in either natural or artificial containers. If mosquito larvae are present, you are encouraged to photograph them with a magnifier (optional). Then, we’d like you to take photos of the land around the habitat location using the Land Cover tool.</w:t>
            </w:r>
          </w:p>
          <w:p w14:paraId="0000000F" w14:textId="77777777" w:rsidR="00614317" w:rsidRDefault="00614317">
            <w:pPr>
              <w:ind w:right="-120"/>
              <w:rPr>
                <w:rFonts w:ascii="Arial" w:eastAsia="Arial" w:hAnsi="Arial" w:cs="Arial"/>
                <w:sz w:val="22"/>
                <w:szCs w:val="22"/>
              </w:rPr>
            </w:pPr>
          </w:p>
          <w:p w14:paraId="00000010" w14:textId="77777777" w:rsidR="00614317" w:rsidRDefault="00AE450E">
            <w:pPr>
              <w:ind w:right="-120"/>
              <w:rPr>
                <w:rFonts w:ascii="Arial" w:eastAsia="Arial" w:hAnsi="Arial" w:cs="Arial"/>
                <w:sz w:val="22"/>
                <w:szCs w:val="22"/>
                <w:highlight w:val="white"/>
              </w:rPr>
            </w:pPr>
            <w:r>
              <w:rPr>
                <w:rFonts w:ascii="Arial" w:eastAsia="Arial" w:hAnsi="Arial" w:cs="Arial"/>
                <w:sz w:val="22"/>
                <w:szCs w:val="22"/>
                <w:highlight w:val="white"/>
              </w:rPr>
              <w:t xml:space="preserve">Photos submitted during this challenge will be used to create automated classification programs that can identify mosquito larvae and the environments they prefer. Such computer programs can help prevent outbreaks of mosquito-borne disease. </w:t>
            </w:r>
          </w:p>
        </w:tc>
      </w:tr>
    </w:tbl>
    <w:p w14:paraId="00000011" w14:textId="6C42DA03" w:rsidR="00614317" w:rsidRDefault="00614317">
      <w:pPr>
        <w:rPr>
          <w:rFonts w:ascii="Times New Roman" w:eastAsia="Times New Roman" w:hAnsi="Times New Roman" w:cs="Times New Roman"/>
        </w:rPr>
      </w:pPr>
    </w:p>
    <w:p w14:paraId="00000013" w14:textId="78036427" w:rsidR="00614317" w:rsidRPr="00F434BB" w:rsidRDefault="00AE450E" w:rsidP="00F434BB">
      <w:pPr>
        <w:spacing w:after="160"/>
        <w:ind w:left="360" w:right="90"/>
        <w:rPr>
          <w:rFonts w:ascii="Times New Roman" w:eastAsia="Times New Roman" w:hAnsi="Times New Roman" w:cs="Times New Roman"/>
          <w:sz w:val="22"/>
          <w:szCs w:val="22"/>
        </w:rPr>
      </w:pPr>
      <w:r w:rsidRPr="00F434BB">
        <w:rPr>
          <w:color w:val="000000"/>
          <w:sz w:val="22"/>
          <w:szCs w:val="22"/>
        </w:rPr>
        <w:t>The</w:t>
      </w:r>
      <w:hyperlink r:id="rId11">
        <w:r w:rsidRPr="00F434BB">
          <w:rPr>
            <w:color w:val="000000"/>
            <w:sz w:val="22"/>
            <w:szCs w:val="22"/>
            <w:u w:val="single"/>
          </w:rPr>
          <w:t xml:space="preserve"> </w:t>
        </w:r>
      </w:hyperlink>
      <w:hyperlink r:id="rId12">
        <w:r w:rsidRPr="00F434BB">
          <w:rPr>
            <w:i/>
            <w:color w:val="0000FF"/>
            <w:sz w:val="22"/>
            <w:szCs w:val="22"/>
            <w:u w:val="single"/>
          </w:rPr>
          <w:t>Global Learning and Observations to Benefit the Environment (GLOBE) Program</w:t>
        </w:r>
      </w:hyperlink>
      <w:r w:rsidRPr="00F434BB">
        <w:rPr>
          <w:color w:val="000000"/>
          <w:sz w:val="22"/>
          <w:szCs w:val="22"/>
        </w:rPr>
        <w:t xml:space="preserve"> is an international science and education program that provides students and the public worldwide with the opportunity to participate in data collection and the scientific process and contribute meaningfully to our understanding of the Earth system and global environment.  Announced by the U.S. Government on Earth Day in 1994, GLOBE launched its worldwide implementation in 1995.</w:t>
      </w:r>
    </w:p>
    <w:p w14:paraId="00000014" w14:textId="35262C99" w:rsidR="00614317" w:rsidRPr="00F434BB" w:rsidRDefault="00AE450E" w:rsidP="00F434BB">
      <w:pPr>
        <w:ind w:left="360" w:right="90"/>
        <w:rPr>
          <w:sz w:val="22"/>
          <w:szCs w:val="22"/>
        </w:rPr>
      </w:pPr>
      <w:r w:rsidRPr="00F434BB">
        <w:rPr>
          <w:color w:val="000000"/>
          <w:sz w:val="22"/>
          <w:szCs w:val="22"/>
        </w:rPr>
        <w:t>The</w:t>
      </w:r>
      <w:hyperlink r:id="rId13">
        <w:r w:rsidRPr="00F434BB">
          <w:rPr>
            <w:color w:val="000000"/>
            <w:sz w:val="22"/>
            <w:szCs w:val="22"/>
            <w:u w:val="single"/>
          </w:rPr>
          <w:t xml:space="preserve"> </w:t>
        </w:r>
      </w:hyperlink>
      <w:hyperlink r:id="rId14">
        <w:r w:rsidRPr="00F434BB">
          <w:rPr>
            <w:i/>
            <w:color w:val="0000FF"/>
            <w:sz w:val="22"/>
            <w:szCs w:val="22"/>
            <w:u w:val="single"/>
          </w:rPr>
          <w:t>GLOBE Observer</w:t>
        </w:r>
      </w:hyperlink>
      <w:r w:rsidRPr="00F434BB">
        <w:rPr>
          <w:color w:val="000000"/>
          <w:sz w:val="22"/>
          <w:szCs w:val="22"/>
        </w:rPr>
        <w:t xml:space="preserve"> app is a GLOBE’s data entry tool that allows an international network of citizen scientists to work together to learn more about our shared environment and changing climate. To participate, just download the </w:t>
      </w:r>
      <w:r w:rsidRPr="00F434BB">
        <w:rPr>
          <w:i/>
          <w:color w:val="000000"/>
          <w:sz w:val="22"/>
          <w:szCs w:val="22"/>
        </w:rPr>
        <w:t>GLOBE Observer</w:t>
      </w:r>
      <w:r w:rsidRPr="00F434BB">
        <w:rPr>
          <w:color w:val="000000"/>
          <w:sz w:val="22"/>
          <w:szCs w:val="22"/>
        </w:rPr>
        <w:t xml:space="preserve"> app and submit regular observations.  </w:t>
      </w:r>
      <w:r w:rsidRPr="00F434BB">
        <w:rPr>
          <w:i/>
          <w:color w:val="000000"/>
          <w:sz w:val="22"/>
          <w:szCs w:val="22"/>
        </w:rPr>
        <w:t>GLOBE Observer</w:t>
      </w:r>
      <w:r w:rsidRPr="00F434BB">
        <w:rPr>
          <w:color w:val="000000"/>
          <w:sz w:val="22"/>
          <w:szCs w:val="22"/>
        </w:rPr>
        <w:t xml:space="preserve"> currently accepts observations of Clouds, Mosquito Habitats, Land Cover and Trees. Lead your own program and incorporate various hands-on activities using </w:t>
      </w:r>
      <w:r w:rsidRPr="00F434BB">
        <w:rPr>
          <w:sz w:val="22"/>
          <w:szCs w:val="22"/>
        </w:rPr>
        <w:t xml:space="preserve">resources in the GLOBE Observer Toolkit for Informal Educators: </w:t>
      </w:r>
      <w:hyperlink r:id="rId15">
        <w:r w:rsidRPr="00F434BB">
          <w:rPr>
            <w:color w:val="1155CC"/>
            <w:sz w:val="22"/>
            <w:szCs w:val="22"/>
            <w:u w:val="single"/>
          </w:rPr>
          <w:t>https://observer.globe.gov/toolkit</w:t>
        </w:r>
      </w:hyperlink>
      <w:r w:rsidRPr="00F434BB">
        <w:rPr>
          <w:sz w:val="22"/>
          <w:szCs w:val="22"/>
        </w:rPr>
        <w:t>.</w:t>
      </w:r>
    </w:p>
    <w:p w14:paraId="00000015" w14:textId="69463CC5" w:rsidR="00614317" w:rsidRPr="00F434BB" w:rsidRDefault="00614317" w:rsidP="00F434BB">
      <w:pPr>
        <w:widowControl w:val="0"/>
        <w:spacing w:line="243" w:lineRule="auto"/>
        <w:ind w:left="360" w:right="90"/>
        <w:rPr>
          <w:sz w:val="22"/>
          <w:szCs w:val="22"/>
        </w:rPr>
      </w:pPr>
    </w:p>
    <w:p w14:paraId="00000018" w14:textId="70CD69E2" w:rsidR="00614317" w:rsidRPr="00F434BB" w:rsidRDefault="00AE450E" w:rsidP="00F434BB">
      <w:pPr>
        <w:widowControl w:val="0"/>
        <w:spacing w:line="243" w:lineRule="auto"/>
        <w:ind w:left="360" w:right="90"/>
        <w:rPr>
          <w:sz w:val="22"/>
          <w:szCs w:val="22"/>
        </w:rPr>
      </w:pPr>
      <w:r w:rsidRPr="00F434BB">
        <w:rPr>
          <w:sz w:val="22"/>
          <w:szCs w:val="22"/>
        </w:rPr>
        <w:t>The</w:t>
      </w:r>
      <w:hyperlink r:id="rId16">
        <w:r w:rsidRPr="00F434BB">
          <w:rPr>
            <w:sz w:val="22"/>
            <w:szCs w:val="22"/>
          </w:rPr>
          <w:t xml:space="preserve"> </w:t>
        </w:r>
      </w:hyperlink>
      <w:hyperlink r:id="rId17">
        <w:r w:rsidRPr="00F434BB">
          <w:rPr>
            <w:color w:val="1155CC"/>
            <w:sz w:val="22"/>
            <w:szCs w:val="22"/>
            <w:u w:val="single"/>
          </w:rPr>
          <w:t>NASA Earth Science Education Collaborative</w:t>
        </w:r>
      </w:hyperlink>
      <w:r w:rsidRPr="00F434BB">
        <w:rPr>
          <w:sz w:val="22"/>
          <w:szCs w:val="22"/>
        </w:rPr>
        <w:t xml:space="preserve"> (NESEC) is enabling broad participation in authentic NASA Earth STEM experiences for lifelong learners, including GLOBE citizen science and student investigations with NASA. NESEC is comprised of four GLOBE Partners</w:t>
      </w:r>
      <w:r w:rsidR="00F434BB" w:rsidRPr="00F434BB">
        <w:rPr>
          <w:sz w:val="22"/>
          <w:szCs w:val="22"/>
        </w:rPr>
        <w:t xml:space="preserve">, </w:t>
      </w:r>
      <w:r w:rsidR="00067564" w:rsidRPr="00F434BB">
        <w:rPr>
          <w:sz w:val="22"/>
          <w:szCs w:val="22"/>
        </w:rPr>
        <w:t xml:space="preserve">led by the </w:t>
      </w:r>
      <w:hyperlink r:id="rId18">
        <w:r w:rsidRPr="00F434BB">
          <w:rPr>
            <w:color w:val="1155CC"/>
            <w:sz w:val="22"/>
            <w:szCs w:val="22"/>
            <w:u w:val="single"/>
          </w:rPr>
          <w:t>Institute for Global Environmental Strategies</w:t>
        </w:r>
      </w:hyperlink>
      <w:r w:rsidRPr="00F434BB">
        <w:rPr>
          <w:sz w:val="22"/>
          <w:szCs w:val="22"/>
        </w:rPr>
        <w:t xml:space="preserve"> (IGES) </w:t>
      </w:r>
      <w:r w:rsidR="00067564" w:rsidRPr="00F434BB">
        <w:rPr>
          <w:sz w:val="22"/>
          <w:szCs w:val="22"/>
        </w:rPr>
        <w:t xml:space="preserve">in partnership with the </w:t>
      </w:r>
      <w:r w:rsidRPr="00F434BB">
        <w:rPr>
          <w:sz w:val="22"/>
          <w:szCs w:val="22"/>
        </w:rPr>
        <w:t>Earth sciences organizations at NASA’s</w:t>
      </w:r>
      <w:hyperlink r:id="rId19">
        <w:r w:rsidRPr="00F434BB">
          <w:rPr>
            <w:sz w:val="22"/>
            <w:szCs w:val="22"/>
          </w:rPr>
          <w:t xml:space="preserve"> </w:t>
        </w:r>
      </w:hyperlink>
      <w:hyperlink r:id="rId20">
        <w:r w:rsidRPr="00F434BB">
          <w:rPr>
            <w:color w:val="1155CC"/>
            <w:sz w:val="22"/>
            <w:szCs w:val="22"/>
            <w:u w:val="single"/>
          </w:rPr>
          <w:t>Goddard Space Flight Center</w:t>
        </w:r>
      </w:hyperlink>
      <w:r w:rsidRPr="00F434BB">
        <w:rPr>
          <w:sz w:val="22"/>
          <w:szCs w:val="22"/>
        </w:rPr>
        <w:t xml:space="preserve"> (GSFC),</w:t>
      </w:r>
      <w:hyperlink r:id="rId21">
        <w:r w:rsidRPr="00F434BB">
          <w:rPr>
            <w:sz w:val="22"/>
            <w:szCs w:val="22"/>
          </w:rPr>
          <w:t xml:space="preserve"> </w:t>
        </w:r>
      </w:hyperlink>
      <w:hyperlink r:id="rId22">
        <w:r w:rsidRPr="00F434BB">
          <w:rPr>
            <w:color w:val="1155CC"/>
            <w:sz w:val="22"/>
            <w:szCs w:val="22"/>
            <w:u w:val="single"/>
          </w:rPr>
          <w:t>Jet Propulsion Laboratory</w:t>
        </w:r>
      </w:hyperlink>
      <w:r w:rsidRPr="00F434BB">
        <w:rPr>
          <w:sz w:val="22"/>
          <w:szCs w:val="22"/>
        </w:rPr>
        <w:t xml:space="preserve"> (JPL), and</w:t>
      </w:r>
      <w:hyperlink r:id="rId23">
        <w:r w:rsidRPr="00F434BB">
          <w:rPr>
            <w:sz w:val="22"/>
            <w:szCs w:val="22"/>
          </w:rPr>
          <w:t xml:space="preserve"> </w:t>
        </w:r>
      </w:hyperlink>
      <w:hyperlink r:id="rId24">
        <w:r w:rsidRPr="00F434BB">
          <w:rPr>
            <w:color w:val="1155CC"/>
            <w:sz w:val="22"/>
            <w:szCs w:val="22"/>
            <w:u w:val="single"/>
          </w:rPr>
          <w:t>Langley Research Center</w:t>
        </w:r>
      </w:hyperlink>
      <w:r w:rsidRPr="00F434BB">
        <w:rPr>
          <w:sz w:val="22"/>
          <w:szCs w:val="22"/>
        </w:rPr>
        <w:t xml:space="preserve"> (</w:t>
      </w:r>
      <w:proofErr w:type="spellStart"/>
      <w:r w:rsidRPr="00F434BB">
        <w:rPr>
          <w:sz w:val="22"/>
          <w:szCs w:val="22"/>
        </w:rPr>
        <w:t>LaRC</w:t>
      </w:r>
      <w:proofErr w:type="spellEnd"/>
      <w:r w:rsidRPr="00F434BB">
        <w:rPr>
          <w:sz w:val="22"/>
          <w:szCs w:val="22"/>
        </w:rPr>
        <w:t xml:space="preserve">). </w:t>
      </w:r>
      <w:r w:rsidRPr="00F434BB">
        <w:rPr>
          <w:i/>
          <w:sz w:val="22"/>
          <w:szCs w:val="22"/>
        </w:rPr>
        <w:t>NESEC is funded under NASA award NNX16AE28A.</w:t>
      </w:r>
    </w:p>
    <w:p w14:paraId="00000019" w14:textId="4DA115C5" w:rsidR="00614317" w:rsidRPr="00F434BB" w:rsidRDefault="00614317" w:rsidP="00F434BB">
      <w:pPr>
        <w:widowControl w:val="0"/>
        <w:spacing w:line="243" w:lineRule="auto"/>
        <w:ind w:left="3330" w:right="90"/>
        <w:rPr>
          <w:i/>
          <w:sz w:val="22"/>
          <w:szCs w:val="22"/>
        </w:rPr>
      </w:pPr>
    </w:p>
    <w:p w14:paraId="0000001A" w14:textId="1A96C0CA" w:rsidR="00614317" w:rsidRDefault="00D64F4E">
      <w:pPr>
        <w:widowControl w:val="0"/>
        <w:spacing w:line="243" w:lineRule="auto"/>
        <w:rPr>
          <w:i/>
          <w:sz w:val="22"/>
          <w:szCs w:val="22"/>
        </w:rPr>
      </w:pPr>
      <w:r>
        <w:rPr>
          <w:noProof/>
        </w:rPr>
        <w:drawing>
          <wp:anchor distT="0" distB="0" distL="114300" distR="114300" simplePos="0" relativeHeight="251660288" behindDoc="0" locked="0" layoutInCell="1" hidden="0" allowOverlap="1" wp14:editId="05176864">
            <wp:simplePos x="0" y="0"/>
            <wp:positionH relativeFrom="column">
              <wp:posOffset>1669577</wp:posOffset>
            </wp:positionH>
            <wp:positionV relativeFrom="paragraph">
              <wp:posOffset>194945</wp:posOffset>
            </wp:positionV>
            <wp:extent cx="1731010" cy="731520"/>
            <wp:effectExtent l="0" t="0" r="0" b="5080"/>
            <wp:wrapSquare wrapText="bothSides" distT="0" distB="0" distL="114300" distR="114300"/>
            <wp:docPr id="21" name="image3.png" descr="Logo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  Description automatically generated"/>
                    <pic:cNvPicPr preferRelativeResize="0"/>
                  </pic:nvPicPr>
                  <pic:blipFill>
                    <a:blip r:embed="rId25"/>
                    <a:srcRect/>
                    <a:stretch>
                      <a:fillRect/>
                    </a:stretch>
                  </pic:blipFill>
                  <pic:spPr>
                    <a:xfrm>
                      <a:off x="0" y="0"/>
                      <a:ext cx="1731010" cy="731520"/>
                    </a:xfrm>
                    <a:prstGeom prst="rect">
                      <a:avLst/>
                    </a:prstGeom>
                    <a:ln/>
                  </pic:spPr>
                </pic:pic>
              </a:graphicData>
            </a:graphic>
            <wp14:sizeRelV relativeFrom="margin">
              <wp14:pctHeight>0</wp14:pctHeight>
            </wp14:sizeRelV>
          </wp:anchor>
        </w:drawing>
      </w:r>
      <w:r w:rsidR="00FC08D1">
        <w:rPr>
          <w:i/>
          <w:noProof/>
          <w:sz w:val="22"/>
          <w:szCs w:val="22"/>
        </w:rPr>
        <w:drawing>
          <wp:anchor distT="0" distB="0" distL="114300" distR="114300" simplePos="0" relativeHeight="251662336" behindDoc="0" locked="0" layoutInCell="1" allowOverlap="1" wp14:anchorId="08C3985F" wp14:editId="4D370656">
            <wp:simplePos x="0" y="0"/>
            <wp:positionH relativeFrom="margin">
              <wp:posOffset>5387340</wp:posOffset>
            </wp:positionH>
            <wp:positionV relativeFrom="margin">
              <wp:posOffset>8043545</wp:posOffset>
            </wp:positionV>
            <wp:extent cx="1190806" cy="935665"/>
            <wp:effectExtent l="0" t="0" r="317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90806" cy="935665"/>
                    </a:xfrm>
                    <a:prstGeom prst="rect">
                      <a:avLst/>
                    </a:prstGeom>
                  </pic:spPr>
                </pic:pic>
              </a:graphicData>
            </a:graphic>
          </wp:anchor>
        </w:drawing>
      </w:r>
      <w:r w:rsidR="00FC08D1">
        <w:rPr>
          <w:noProof/>
        </w:rPr>
        <w:drawing>
          <wp:anchor distT="0" distB="0" distL="114300" distR="114300" simplePos="0" relativeHeight="251659264" behindDoc="0" locked="0" layoutInCell="1" hidden="0" allowOverlap="1" wp14:editId="246EC11A">
            <wp:simplePos x="0" y="0"/>
            <wp:positionH relativeFrom="column">
              <wp:posOffset>222885</wp:posOffset>
            </wp:positionH>
            <wp:positionV relativeFrom="paragraph">
              <wp:posOffset>10160</wp:posOffset>
            </wp:positionV>
            <wp:extent cx="1102995" cy="914400"/>
            <wp:effectExtent l="0" t="0" r="1905" b="0"/>
            <wp:wrapSquare wrapText="bothSides" distT="0" distB="0" distL="114300" distR="114300"/>
            <wp:docPr id="2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l="2777"/>
                    <a:stretch>
                      <a:fillRect/>
                    </a:stretch>
                  </pic:blipFill>
                  <pic:spPr>
                    <a:xfrm>
                      <a:off x="0" y="0"/>
                      <a:ext cx="1102995" cy="914400"/>
                    </a:xfrm>
                    <a:prstGeom prst="rect">
                      <a:avLst/>
                    </a:prstGeom>
                    <a:ln/>
                  </pic:spPr>
                </pic:pic>
              </a:graphicData>
            </a:graphic>
            <wp14:sizeRelH relativeFrom="margin">
              <wp14:pctWidth>0</wp14:pctWidth>
            </wp14:sizeRelH>
            <wp14:sizeRelV relativeFrom="margin">
              <wp14:pctHeight>0</wp14:pctHeight>
            </wp14:sizeRelV>
          </wp:anchor>
        </w:drawing>
      </w:r>
      <w:r w:rsidR="00FC08D1">
        <w:rPr>
          <w:noProof/>
        </w:rPr>
        <w:drawing>
          <wp:anchor distT="114300" distB="114300" distL="114300" distR="114300" simplePos="0" relativeHeight="251661312" behindDoc="0" locked="0" layoutInCell="1" hidden="0" allowOverlap="1" wp14:editId="5F75428E">
            <wp:simplePos x="0" y="0"/>
            <wp:positionH relativeFrom="column">
              <wp:posOffset>3742882</wp:posOffset>
            </wp:positionH>
            <wp:positionV relativeFrom="paragraph">
              <wp:posOffset>66040</wp:posOffset>
            </wp:positionV>
            <wp:extent cx="1252855" cy="878840"/>
            <wp:effectExtent l="0" t="0" r="0" b="0"/>
            <wp:wrapSquare wrapText="bothSides" distT="114300" distB="114300" distL="114300" distR="11430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a:srcRect/>
                    <a:stretch>
                      <a:fillRect/>
                    </a:stretch>
                  </pic:blipFill>
                  <pic:spPr>
                    <a:xfrm>
                      <a:off x="0" y="0"/>
                      <a:ext cx="1252855" cy="878840"/>
                    </a:xfrm>
                    <a:prstGeom prst="rect">
                      <a:avLst/>
                    </a:prstGeom>
                    <a:ln/>
                  </pic:spPr>
                </pic:pic>
              </a:graphicData>
            </a:graphic>
          </wp:anchor>
        </w:drawing>
      </w:r>
    </w:p>
    <w:p w14:paraId="2B8391F8" w14:textId="508FAE38" w:rsidR="009F4E3C" w:rsidRPr="009F4E3C" w:rsidRDefault="009F4E3C" w:rsidP="007C523E">
      <w:pPr>
        <w:rPr>
          <w:sz w:val="22"/>
          <w:szCs w:val="22"/>
        </w:rPr>
      </w:pPr>
    </w:p>
    <w:sectPr w:rsidR="009F4E3C" w:rsidRPr="009F4E3C">
      <w:headerReference w:type="default" r:id="rId29"/>
      <w:pgSz w:w="12240" w:h="15840"/>
      <w:pgMar w:top="360" w:right="720" w:bottom="360" w:left="72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45FFD" w14:textId="77777777" w:rsidR="00D90C6D" w:rsidRDefault="00D90C6D">
      <w:r>
        <w:separator/>
      </w:r>
    </w:p>
  </w:endnote>
  <w:endnote w:type="continuationSeparator" w:id="0">
    <w:p w14:paraId="2A8EC404" w14:textId="77777777" w:rsidR="00D90C6D" w:rsidRDefault="00D90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DengXian Light">
    <w:panose1 w:val="02010600030101010101"/>
    <w:charset w:val="86"/>
    <w:family w:val="roman"/>
    <w:notTrueType/>
    <w:pitch w:val="default"/>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4CADA" w14:textId="77777777" w:rsidR="00D90C6D" w:rsidRDefault="00D90C6D">
      <w:r>
        <w:separator/>
      </w:r>
    </w:p>
  </w:footnote>
  <w:footnote w:type="continuationSeparator" w:id="0">
    <w:p w14:paraId="511AB7C1" w14:textId="77777777" w:rsidR="00D90C6D" w:rsidRDefault="00D90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B" w14:textId="77777777" w:rsidR="00614317" w:rsidRDefault="00614317">
    <w:pPr>
      <w:widowControl w:val="0"/>
      <w:spacing w:line="243"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B97FA1"/>
    <w:multiLevelType w:val="multilevel"/>
    <w:tmpl w:val="1A70B0E8"/>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317"/>
    <w:rsid w:val="00067564"/>
    <w:rsid w:val="00614317"/>
    <w:rsid w:val="007C523E"/>
    <w:rsid w:val="009F4E3C"/>
    <w:rsid w:val="00AE450E"/>
    <w:rsid w:val="00D64F4E"/>
    <w:rsid w:val="00D90C6D"/>
    <w:rsid w:val="00F1141A"/>
    <w:rsid w:val="00F434BB"/>
    <w:rsid w:val="00FC08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BA11D"/>
  <w15:docId w15:val="{8870191A-9F5C-B042-9523-9AB8881CA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C2471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F2CEB"/>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bserver.globe.gov/" TargetMode="External"/><Relationship Id="rId18" Type="http://schemas.openxmlformats.org/officeDocument/2006/relationships/hyperlink" Target="https://www.strategies.org/" TargetMode="External"/><Relationship Id="rId26"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yperlink" Target="https://www.jpl.nasa.gov/" TargetMode="External"/><Relationship Id="rId7" Type="http://schemas.openxmlformats.org/officeDocument/2006/relationships/endnotes" Target="endnotes.xml"/><Relationship Id="rId12" Type="http://schemas.openxmlformats.org/officeDocument/2006/relationships/hyperlink" Target="https://www.globe.gov/" TargetMode="External"/><Relationship Id="rId17" Type="http://schemas.openxmlformats.org/officeDocument/2006/relationships/hyperlink" Target="https://nesec.strategies.org/"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nesec.strategies.org/" TargetMode="External"/><Relationship Id="rId20" Type="http://schemas.openxmlformats.org/officeDocument/2006/relationships/hyperlink" Target="https://www.nasa.gov/goddar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lobe.gov/" TargetMode="External"/><Relationship Id="rId24" Type="http://schemas.openxmlformats.org/officeDocument/2006/relationships/hyperlink" Target="https://www.nasa.gov/langley" TargetMode="External"/><Relationship Id="rId5" Type="http://schemas.openxmlformats.org/officeDocument/2006/relationships/webSettings" Target="webSettings.xml"/><Relationship Id="rId15" Type="http://schemas.openxmlformats.org/officeDocument/2006/relationships/hyperlink" Target="https://observer.globe.gov/toolkit" TargetMode="External"/><Relationship Id="rId23" Type="http://schemas.openxmlformats.org/officeDocument/2006/relationships/hyperlink" Target="https://www.nasa.gov/langley" TargetMode="External"/><Relationship Id="rId28" Type="http://schemas.openxmlformats.org/officeDocument/2006/relationships/image" Target="media/image5.png"/><Relationship Id="rId10" Type="http://schemas.openxmlformats.org/officeDocument/2006/relationships/hyperlink" Target="https://observer.globe.gov/mosquito_challenge" TargetMode="External"/><Relationship Id="rId19" Type="http://schemas.openxmlformats.org/officeDocument/2006/relationships/hyperlink" Target="https://www.nasa.gov/goddar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bserver.globe.gov/get-the-app" TargetMode="External"/><Relationship Id="rId14" Type="http://schemas.openxmlformats.org/officeDocument/2006/relationships/hyperlink" Target="https://observer.globe.gov/" TargetMode="External"/><Relationship Id="rId22" Type="http://schemas.openxmlformats.org/officeDocument/2006/relationships/hyperlink" Target="https://www.jpl.nasa.gov/" TargetMode="External"/><Relationship Id="rId27" Type="http://schemas.openxmlformats.org/officeDocument/2006/relationships/image" Target="media/image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5PwafzqLRcpIi+ziUz8uQvtqmQ==">AMUW2mV1ygnATfgp7rP9V/FjKPFzQfIp2jpvuVC29Z0ZddarT2LOZVhkjXVH22JK7/62uDY+4b4dBSPrqHTa8aJtpwNoyUEvCwg5FEavc7PScafJI3sevGw=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Owen, Tassia (GSFC-618.0)[GLOBAL SCIENCE &amp; TECHNOLOGY INC]</dc:creator>
  <cp:lastModifiedBy>Cassie Soeffing</cp:lastModifiedBy>
  <cp:revision>2</cp:revision>
  <cp:lastPrinted>2021-06-08T16:44:00Z</cp:lastPrinted>
  <dcterms:created xsi:type="dcterms:W3CDTF">2021-06-09T14:29:00Z</dcterms:created>
  <dcterms:modified xsi:type="dcterms:W3CDTF">2021-06-09T14:29:00Z</dcterms:modified>
</cp:coreProperties>
</file>